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 w:after="40"/>
      </w:pPr>
      <w:r>
        <w:rPr>
          <w:rFonts w:ascii="等线" w:hAnsi="等线" w:eastAsia="等线" w:cs="等线"/>
          <w:b/>
          <w:color w:val="176873"/>
          <w:sz w:val="16"/>
        </w:rPr>
        <w:t>LABORATORY QUICK REFERENCE</w:t>
      </w:r>
    </w:p>
    <w:p>
      <w:pPr>
        <w:keepNext/>
        <w:spacing w:before="0" w:after="60"/>
      </w:pPr>
      <w:r>
        <w:rPr>
          <w:rFonts w:ascii="等线" w:hAnsi="等线" w:eastAsia="等线" w:cs="等线"/>
          <w:b/>
          <w:color w:val="0C3D46"/>
          <w:sz w:val="41"/>
        </w:rPr>
        <w:t>高含量肌酸产品</w:t>
        <w:br/>
        <w:t>蛋白质与碳水化合物技术校正</w:t>
      </w:r>
    </w:p>
    <w:p>
      <w:pPr>
        <w:spacing w:before="0" w:after="100"/>
      </w:pPr>
      <w:r>
        <w:rPr>
          <w:rFonts w:ascii="等线" w:hAnsi="等线" w:eastAsia="等线" w:cs="等线"/>
          <w:b/>
          <w:color w:val="5B6E72"/>
          <w:sz w:val="18"/>
        </w:rPr>
        <w:t>实验室快速参考版  |  v1.3  |  2026-08-11</w:t>
      </w:r>
    </w:p>
    <w:p>
      <w:pPr>
        <w:keepLines/>
        <w:spacing w:before="50" w:after="100" w:line="264" w:lineRule="auto"/>
        <w:ind w:left="142" w:right="85"/>
        <w:shd w:fill="FFF8E8"/>
        <w:pBdr>
          <w:left w:val="single" w:sz="18" w:space="7" w:color="D4B45E"/>
        </w:pBdr>
      </w:pPr>
      <w:r>
        <w:rPr>
          <w:rFonts w:ascii="等线" w:hAnsi="等线" w:eastAsia="等线" w:cs="等线"/>
          <w:b/>
          <w:color w:val="0C3D46"/>
          <w:sz w:val="18"/>
        </w:rPr>
        <w:t xml:space="preserve">用途  </w:t>
      </w:r>
      <w:r>
        <w:rPr>
          <w:rFonts w:ascii="等线" w:hAnsi="等线" w:eastAsia="等线" w:cs="等线"/>
          <w:color w:val="17343A"/>
          <w:sz w:val="18"/>
        </w:rPr>
        <w:t>保留通用方法的标准基础结果，并对高比例肌酸造成的总氮和质量平衡干扰进行透明、可复算的第二层技术校正，供委托方与实验室评估确认。</w:t>
      </w:r>
    </w:p>
    <w:p>
      <w:pPr>
        <w:pStyle w:val="Heading1"/>
      </w:pPr>
      <w:r>
        <w:t>1. 为什么需要校正</w:t>
      </w:r>
    </w:p>
    <w:p>
      <w:pPr>
        <w:spacing w:after="60"/>
      </w:pPr>
      <w:r>
        <w:rPr>
          <w:rFonts w:ascii="等线" w:hAnsi="等线" w:eastAsia="等线" w:cs="等线"/>
          <w:color w:val="17343A"/>
          <w:sz w:val="18"/>
        </w:rPr>
        <w:t>总氮法不能区分蛋白质氮与肌酸氮；差减法也不会自动识别肌酸这一非碳水有机固形物。因此，高含量肌酸产品可能同时出现蛋白质结果偏高和碳水化合物残差失真。</w:t>
      </w:r>
    </w:p>
    <w:p>
      <w:pPr>
        <w:keepLines/>
        <w:spacing w:before="50" w:after="70" w:line="264" w:lineRule="auto"/>
        <w:ind w:left="142" w:right="85"/>
        <w:shd w:fill="EEF6F5"/>
        <w:pBdr>
          <w:left w:val="single" w:sz="18" w:space="7" w:color="176873"/>
        </w:pBdr>
      </w:pPr>
      <w:r>
        <w:rPr>
          <w:rFonts w:ascii="等线" w:hAnsi="等线" w:eastAsia="等线" w:cs="等线"/>
          <w:b/>
          <w:color w:val="0C3D46"/>
          <w:sz w:val="18"/>
        </w:rPr>
        <w:t xml:space="preserve">使用边界  </w:t>
      </w:r>
      <w:r>
        <w:rPr>
          <w:rFonts w:ascii="等线" w:hAnsi="等线" w:eastAsia="等线" w:cs="等线"/>
          <w:color w:val="17343A"/>
          <w:sz w:val="18"/>
        </w:rPr>
        <w:t>技术校正不替代适用法规、产品标准、标签规则、符合性判定或实验室授权程序。V1.3 仅定量处理肌酸；其他显著非蛋白氮应另行评估。</w:t>
      </w:r>
    </w:p>
    <w:p>
      <w:pPr>
        <w:pStyle w:val="Heading1"/>
      </w:pPr>
      <w:r>
        <w:t>2. 肌酸校正通用公式</w:t>
      </w:r>
    </w:p>
    <w:p>
      <w:pPr>
        <w:spacing w:after="50"/>
      </w:pPr>
      <w:r>
        <w:rPr>
          <w:rFonts w:ascii="等线" w:hAnsi="等线" w:eastAsia="等线" w:cs="等线"/>
          <w:color w:val="5B6E72"/>
          <w:sz w:val="17"/>
        </w:rPr>
        <w:t>以下公式统一以 g/100 g 计；通用方法的标准基础结果按适用要求保留，本节给出肌酸校正技术值的计算方式。</w:t>
      </w:r>
    </w:p>
    <w:p>
      <w:pPr>
        <w:pStyle w:val="Heading2"/>
      </w:pPr>
      <w:r>
        <w:t>2.1 肌酸口径与肌酸氮</w:t>
      </w:r>
    </w:p>
    <w:p>
      <w:pPr>
        <w:keepLines/>
        <w:spacing w:before="40" w:after="50" w:line="250" w:lineRule="auto"/>
        <w:ind w:left="142" w:right="85"/>
        <w:shd w:fill="EAF0F6"/>
      </w:pPr>
      <w:r>
        <w:rPr>
          <w:rFonts w:ascii="等线" w:hAnsi="等线" w:eastAsia="等线" w:cs="等线"/>
          <w:b/>
          <w:color w:val="0C3D46"/>
          <w:sz w:val="17"/>
        </w:rPr>
        <w:t>无水肌酸当量</w:t>
        <w:br/>
      </w:r>
      <w:r>
        <w:rPr>
          <w:rFonts w:ascii="等线" w:hAnsi="等线" w:eastAsia="等线" w:cs="等线"/>
          <w:b/>
          <w:color w:val="17343A"/>
          <w:sz w:val="19"/>
        </w:rPr>
        <w:t>无水肌酸当量 = 一水肌酸实测值 × 131.13 ÷ 149.15</w:t>
      </w:r>
      <w:r>
        <w:rPr>
          <w:rFonts w:ascii="等线" w:hAnsi="等线" w:eastAsia="等线" w:cs="等线"/>
          <w:color w:val="5B6E72"/>
          <w:sz w:val="16"/>
        </w:rPr>
        <w:br/>
        <w:t>检测结果若已按无水肌酸表示，无水肌酸当量直接取该结果。</w:t>
      </w:r>
    </w:p>
    <w:p>
      <w:pPr>
        <w:keepLines/>
        <w:spacing w:before="40" w:after="50" w:line="250" w:lineRule="auto"/>
        <w:ind w:left="142" w:right="85"/>
        <w:shd w:fill="EAF0F6"/>
      </w:pPr>
      <w:r>
        <w:rPr>
          <w:rFonts w:ascii="等线" w:hAnsi="等线" w:eastAsia="等线" w:cs="等线"/>
          <w:b/>
          <w:color w:val="0C3D46"/>
          <w:sz w:val="17"/>
        </w:rPr>
        <w:t>肌酸氮</w:t>
        <w:br/>
      </w:r>
      <w:r>
        <w:rPr>
          <w:rFonts w:ascii="等线" w:hAnsi="等线" w:eastAsia="等线" w:cs="等线"/>
          <w:b/>
          <w:color w:val="17343A"/>
          <w:sz w:val="18"/>
        </w:rPr>
        <w:t>一水肌酸口径：肌酸氮 = 一水肌酸实测值 × 42.03 ÷ 149.15</w:t>
        <w:br/>
        <w:t>无水肌酸口径：肌酸氮 = 无水肌酸实测值 × 42.03 ÷ 131.13</w:t>
      </w:r>
      <w:r>
        <w:rPr>
          <w:rFonts w:ascii="等线" w:hAnsi="等线" w:eastAsia="等线" w:cs="等线"/>
          <w:color w:val="5B6E72"/>
          <w:sz w:val="16"/>
        </w:rPr>
        <w:br/>
        <w:t>42.03 = 3 × 14.01；每个肌酸分子含3个氮原子。</w:t>
      </w:r>
    </w:p>
    <w:p>
      <w:pPr>
        <w:pStyle w:val="Heading2"/>
      </w:pPr>
      <w:r>
        <w:t>2.2 蛋白质肌酸校正公式</w:t>
      </w:r>
    </w:p>
    <w:p>
      <w:pPr>
        <w:keepLines/>
        <w:spacing w:before="40" w:after="50" w:line="250" w:lineRule="auto"/>
        <w:ind w:left="142" w:right="85"/>
        <w:shd w:fill="EAF0F6"/>
      </w:pPr>
      <w:r>
        <w:rPr>
          <w:rFonts w:ascii="等线" w:hAnsi="等线" w:eastAsia="等线" w:cs="等线"/>
          <w:b/>
          <w:color w:val="0C3D46"/>
          <w:sz w:val="17"/>
        </w:rPr>
        <w:t>肌酸校正蛋白质</w:t>
        <w:br/>
      </w:r>
      <w:r>
        <w:rPr>
          <w:rFonts w:ascii="等线" w:hAnsi="等线" w:eastAsia="等线" w:cs="等线"/>
          <w:b/>
          <w:color w:val="17343A"/>
          <w:sz w:val="18"/>
        </w:rPr>
        <w:t>肌酸校正蛋白质 =（总氮－肌酸氮）× 蛋白质折算系数</w:t>
      </w:r>
      <w:r>
        <w:rPr>
          <w:rFonts w:ascii="等线" w:hAnsi="等线" w:eastAsia="等线" w:cs="等线"/>
          <w:color w:val="5B6E72"/>
          <w:sz w:val="16"/>
        </w:rPr>
        <w:br/>
        <w:t>技术校正值不得改称为标准方法原文结果。</w:t>
      </w:r>
    </w:p>
    <w:p>
      <w:pPr>
        <w:pStyle w:val="Heading2"/>
      </w:pPr>
      <w:r>
        <w:t>2.3 碳水化合物肌酸校正公式</w:t>
      </w:r>
    </w:p>
    <w:p>
      <w:pPr>
        <w:keepLines/>
        <w:spacing w:before="40" w:after="50" w:line="250" w:lineRule="auto"/>
        <w:ind w:left="142" w:right="85"/>
        <w:shd w:fill="EAF0F6"/>
      </w:pPr>
      <w:r>
        <w:rPr>
          <w:rFonts w:ascii="等线" w:hAnsi="等线" w:eastAsia="等线" w:cs="等线"/>
          <w:b/>
          <w:color w:val="0C3D46"/>
          <w:sz w:val="17"/>
        </w:rPr>
        <w:t>总碳水化合物</w:t>
        <w:br/>
      </w:r>
      <w:r>
        <w:rPr>
          <w:rFonts w:ascii="等线" w:hAnsi="等线" w:eastAsia="等线" w:cs="等线"/>
          <w:b/>
          <w:color w:val="17343A"/>
          <w:sz w:val="18"/>
        </w:rPr>
        <w:t>肌酸校正总碳水 = 100－肌酸校正蛋白质－脂肪－水分－灰分－无水肌酸当量</w:t>
      </w:r>
      <w:r>
        <w:rPr>
          <w:rFonts w:ascii="等线" w:hAnsi="等线" w:eastAsia="等线" w:cs="等线"/>
          <w:color w:val="5B6E72"/>
          <w:sz w:val="16"/>
        </w:rPr>
        <w:br/>
        <w:t>肌酸作为已确认的非碳水固形物单独列出。</w:t>
      </w:r>
    </w:p>
    <w:p>
      <w:pPr>
        <w:keepLines/>
        <w:spacing w:before="40" w:after="50" w:line="250" w:lineRule="auto"/>
        <w:ind w:left="142" w:right="85"/>
        <w:shd w:fill="EAF0F6"/>
      </w:pPr>
      <w:r>
        <w:rPr>
          <w:rFonts w:ascii="等线" w:hAnsi="等线" w:eastAsia="等线" w:cs="等线"/>
          <w:b/>
          <w:color w:val="0C3D46"/>
          <w:sz w:val="17"/>
        </w:rPr>
        <w:t>可利用碳水化合物（仅在有膳食纤维结果时）</w:t>
        <w:br/>
      </w:r>
      <w:r>
        <w:rPr>
          <w:rFonts w:ascii="等线" w:hAnsi="等线" w:eastAsia="等线" w:cs="等线"/>
          <w:b/>
          <w:color w:val="17343A"/>
          <w:sz w:val="18"/>
        </w:rPr>
        <w:t>肌酸校正可利用碳水 = 肌酸校正总碳水－膳食纤维</w:t>
      </w:r>
    </w:p>
    <w:p>
      <w:pPr>
        <w:keepLines/>
        <w:spacing w:before="50" w:after="0" w:line="264" w:lineRule="auto"/>
        <w:ind w:left="142" w:right="85"/>
        <w:shd w:fill="FFF1EE"/>
        <w:pBdr>
          <w:left w:val="single" w:sz="18" w:space="7" w:color="A63C32"/>
        </w:pBdr>
      </w:pPr>
      <w:r>
        <w:rPr>
          <w:rFonts w:ascii="等线" w:hAnsi="等线" w:eastAsia="等线" w:cs="等线"/>
          <w:b/>
          <w:color w:val="0C3D46"/>
          <w:sz w:val="17"/>
        </w:rPr>
        <w:t xml:space="preserve">异常值规则  </w:t>
      </w:r>
      <w:r>
        <w:rPr>
          <w:rFonts w:ascii="等线" w:hAnsi="等线" w:eastAsia="等线" w:cs="等线"/>
          <w:color w:val="17343A"/>
          <w:sz w:val="17"/>
        </w:rPr>
        <w:t>结果小于0或大于100时回查单位、含量基准、批次、肌酸口径、其他非蛋白氮和模型适用性。肌酸氮高于总氮时停止计算。</w:t>
      </w:r>
    </w:p>
    <w:p>
      <w:pPr>
        <w:keepLines/>
        <w:spacing w:before="50" w:after="0" w:line="264" w:lineRule="auto"/>
        <w:ind w:left="142" w:right="85"/>
        <w:shd w:fill="FFF8E8"/>
        <w:pBdr>
          <w:left w:val="single" w:sz="18" w:space="7" w:color="D4B45E"/>
        </w:pBdr>
      </w:pPr>
      <w:r>
        <w:rPr>
          <w:rFonts w:ascii="等线" w:hAnsi="等线" w:eastAsia="等线" w:cs="等线"/>
          <w:b/>
          <w:color w:val="0C3D46"/>
          <w:sz w:val="17"/>
        </w:rPr>
        <w:t xml:space="preserve">案例说明  </w:t>
      </w:r>
      <w:r>
        <w:rPr>
          <w:rFonts w:ascii="等线" w:hAnsi="等线" w:eastAsia="等线" w:cs="等线"/>
          <w:color w:val="17343A"/>
          <w:sz w:val="17"/>
        </w:rPr>
        <w:t>第2页完整展示标准基础值与肌酸校正技术值，并分别计算不考虑和考虑膳食纤维的两种情形。</w:t>
      </w:r>
    </w:p>
    <w:p>
      <w:r>
        <w:br w:type="page"/>
      </w:r>
    </w:p>
    <w:p>
      <w:pPr>
        <w:pStyle w:val="Heading1"/>
      </w:pPr>
      <w:r>
        <w:t>3. 完整案例：一水肌酸型运动营养粉</w:t>
      </w:r>
    </w:p>
    <w:p>
      <w:pPr>
        <w:spacing w:after="60"/>
      </w:pPr>
      <w:r>
        <w:rPr>
          <w:rFonts w:ascii="等线" w:hAnsi="等线" w:eastAsia="等线" w:cs="等线"/>
          <w:color w:val="5B6E72"/>
          <w:sz w:val="17"/>
        </w:rPr>
        <w:t>以下为假设性计算案例，不代表真实配方、产品分类或符合性结论。蛋白质折算系数取 F = 6.25。</w:t>
      </w:r>
    </w:p>
    <w:tbl>
      <w:tblPr>
        <w:tblStyle w:val="TableGrid"/>
        <w:tblW w:type="dxa" w:w="9864"/>
        <w:jc w:val="left"/>
        <w:tblLayout w:type="fixed"/>
        <w:tblLook w:firstColumn="1" w:firstRow="1" w:lastColumn="0" w:lastRow="0" w:noHBand="0" w:noVBand="1" w:val="04A0"/>
        <w:tblInd w:w="120" w:type="dxa"/>
      </w:tblPr>
      <w:tblGrid>
        <w:gridCol w:w="3000"/>
        <w:gridCol w:w="2260"/>
        <w:gridCol w:w="4604"/>
      </w:tblGrid>
      <w:tr>
        <w:trPr>
          <w:tblHeader w:val="true"/>
          <w:cantSplit/>
        </w:trPr>
        <w:tc>
          <w:tcPr>
            <w:tcW w:type="dxa" w:w="3000"/>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输入项目</w:t>
            </w:r>
          </w:p>
        </w:tc>
        <w:tc>
          <w:tcPr>
            <w:tcW w:type="dxa" w:w="2260"/>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示例值 / 设定</w:t>
            </w:r>
          </w:p>
        </w:tc>
        <w:tc>
          <w:tcPr>
            <w:tcW w:type="dxa" w:w="4604"/>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口径 / 说明</w:t>
            </w:r>
          </w:p>
        </w:tc>
      </w:tr>
      <w:tr>
        <w:trPr>
          <w:cantSplit/>
        </w:trPr>
        <w:tc>
          <w:tcPr>
            <w:tcW w:type="dxa" w:w="3000"/>
            <w:vAlign w:val="center"/>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一水肌酸</w:t>
            </w:r>
          </w:p>
        </w:tc>
        <w:tc>
          <w:tcPr>
            <w:tcW w:type="dxa" w:w="226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6.00</w:t>
            </w:r>
          </w:p>
        </w:tc>
        <w:tc>
          <w:tcPr>
            <w:tcW w:type="dxa" w:w="4604"/>
            <w:vAlign w:val="center"/>
            <w:tcMar>
              <w:top w:w="76" w:type="dxa"/>
              <w:bottom w:w="76" w:type="dxa"/>
              <w:left w:w="112" w:type="dxa"/>
              <w:right w:w="112" w:type="dxa"/>
            </w:tcMar>
          </w:tcPr>
          <w:p>
            <w:pPr>
              <w:spacing w:before="0" w:after="0" w:line="254" w:lineRule="auto"/>
              <w:jc w:val="left"/>
            </w:pPr>
            <w:r/>
            <w:r>
              <w:rPr>
                <w:rFonts w:ascii="等线" w:hAnsi="等线" w:eastAsia="等线" w:cs="等线"/>
                <w:b w:val="0"/>
                <w:color w:val="17343A"/>
                <w:sz w:val="16"/>
              </w:rPr>
              <w:t>终产品实测值</w:t>
            </w:r>
          </w:p>
        </w:tc>
      </w:tr>
      <w:tr>
        <w:trPr>
          <w:cantSplit/>
        </w:trPr>
        <w:tc>
          <w:tcPr>
            <w:tcW w:type="dxa" w:w="3000"/>
            <w:vAlign w:val="center"/>
            <w:shd w:fill="F7FAF9"/>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总氮</w:t>
            </w:r>
          </w:p>
        </w:tc>
        <w:tc>
          <w:tcPr>
            <w:tcW w:type="dxa" w:w="226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10.00</w:t>
            </w:r>
          </w:p>
        </w:tc>
        <w:tc>
          <w:tcPr>
            <w:tcW w:type="dxa" w:w="4604"/>
            <w:vAlign w:val="center"/>
            <w:shd w:fill="F7FAF9"/>
            <w:tcMar>
              <w:top w:w="76" w:type="dxa"/>
              <w:bottom w:w="76" w:type="dxa"/>
              <w:left w:w="112" w:type="dxa"/>
              <w:right w:w="112" w:type="dxa"/>
            </w:tcMar>
          </w:tcPr>
          <w:p>
            <w:pPr>
              <w:spacing w:before="0" w:after="0" w:line="254" w:lineRule="auto"/>
              <w:jc w:val="left"/>
            </w:pPr>
            <w:r/>
            <w:r>
              <w:rPr>
                <w:rFonts w:ascii="等线" w:hAnsi="等线" w:eastAsia="等线" w:cs="等线"/>
                <w:b w:val="0"/>
                <w:color w:val="17343A"/>
                <w:sz w:val="16"/>
              </w:rPr>
              <w:t>与其他组成数据同批次</w:t>
            </w:r>
          </w:p>
        </w:tc>
      </w:tr>
      <w:tr>
        <w:trPr>
          <w:cantSplit/>
        </w:trPr>
        <w:tc>
          <w:tcPr>
            <w:tcW w:type="dxa" w:w="3000"/>
            <w:vAlign w:val="center"/>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脂肪 / 水分 / 灰分</w:t>
            </w:r>
          </w:p>
        </w:tc>
        <w:tc>
          <w:tcPr>
            <w:tcW w:type="dxa" w:w="226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10.00 / 6.00 / 3.00</w:t>
            </w:r>
          </w:p>
        </w:tc>
        <w:tc>
          <w:tcPr>
            <w:tcW w:type="dxa" w:w="4604"/>
            <w:vAlign w:val="center"/>
            <w:tcMar>
              <w:top w:w="76" w:type="dxa"/>
              <w:bottom w:w="76" w:type="dxa"/>
              <w:left w:w="112" w:type="dxa"/>
              <w:right w:w="112" w:type="dxa"/>
            </w:tcMar>
          </w:tcPr>
          <w:p>
            <w:pPr>
              <w:spacing w:before="0" w:after="0" w:line="254" w:lineRule="auto"/>
              <w:jc w:val="left"/>
            </w:pPr>
            <w:r/>
            <w:r>
              <w:rPr>
                <w:rFonts w:ascii="等线" w:hAnsi="等线" w:eastAsia="等线" w:cs="等线"/>
                <w:b w:val="0"/>
                <w:color w:val="17343A"/>
                <w:sz w:val="16"/>
              </w:rPr>
              <w:t>同一含量基准</w:t>
            </w:r>
          </w:p>
        </w:tc>
      </w:tr>
      <w:tr>
        <w:trPr>
          <w:cantSplit/>
        </w:trPr>
        <w:tc>
          <w:tcPr>
            <w:tcW w:type="dxa" w:w="3000"/>
            <w:vAlign w:val="center"/>
            <w:shd w:fill="F7FAF9"/>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蛋白质折算系数</w:t>
            </w:r>
          </w:p>
        </w:tc>
        <w:tc>
          <w:tcPr>
            <w:tcW w:type="dxa" w:w="226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6.25</w:t>
            </w:r>
          </w:p>
        </w:tc>
        <w:tc>
          <w:tcPr>
            <w:tcW w:type="dxa" w:w="4604"/>
            <w:vAlign w:val="center"/>
            <w:shd w:fill="F7FAF9"/>
            <w:tcMar>
              <w:top w:w="76" w:type="dxa"/>
              <w:bottom w:w="76" w:type="dxa"/>
              <w:left w:w="112" w:type="dxa"/>
              <w:right w:w="112" w:type="dxa"/>
            </w:tcMar>
          </w:tcPr>
          <w:p>
            <w:pPr>
              <w:spacing w:before="0" w:after="0" w:line="254" w:lineRule="auto"/>
              <w:jc w:val="left"/>
            </w:pPr>
            <w:r/>
            <w:r>
              <w:rPr>
                <w:rFonts w:ascii="等线" w:hAnsi="等线" w:eastAsia="等线" w:cs="等线"/>
                <w:b w:val="0"/>
                <w:color w:val="17343A"/>
                <w:sz w:val="16"/>
              </w:rPr>
              <w:t>案例假设值</w:t>
            </w:r>
          </w:p>
        </w:tc>
      </w:tr>
      <w:tr>
        <w:trPr>
          <w:cantSplit/>
        </w:trPr>
        <w:tc>
          <w:tcPr>
            <w:tcW w:type="dxa" w:w="3000"/>
            <w:vAlign w:val="center"/>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情形A：不考虑膳食纤维</w:t>
            </w:r>
          </w:p>
        </w:tc>
        <w:tc>
          <w:tcPr>
            <w:tcW w:type="dxa" w:w="226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w:t>
            </w:r>
          </w:p>
        </w:tc>
        <w:tc>
          <w:tcPr>
            <w:tcW w:type="dxa" w:w="4604"/>
            <w:vAlign w:val="center"/>
            <w:tcMar>
              <w:top w:w="76" w:type="dxa"/>
              <w:bottom w:w="76" w:type="dxa"/>
              <w:left w:w="112" w:type="dxa"/>
              <w:right w:w="112" w:type="dxa"/>
            </w:tcMar>
          </w:tcPr>
          <w:p>
            <w:pPr>
              <w:spacing w:before="0" w:after="0" w:line="254" w:lineRule="auto"/>
              <w:jc w:val="left"/>
            </w:pPr>
            <w:r/>
            <w:r>
              <w:rPr>
                <w:rFonts w:ascii="等线" w:hAnsi="等线" w:eastAsia="等线" w:cs="等线"/>
                <w:b w:val="0"/>
                <w:color w:val="17343A"/>
                <w:sz w:val="16"/>
              </w:rPr>
              <w:t>只计算总碳水，不计算可利用碳水</w:t>
            </w:r>
          </w:p>
        </w:tc>
      </w:tr>
      <w:tr>
        <w:trPr>
          <w:cantSplit/>
        </w:trPr>
        <w:tc>
          <w:tcPr>
            <w:tcW w:type="dxa" w:w="3000"/>
            <w:vAlign w:val="center"/>
            <w:shd w:fill="F7FAF9"/>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情形B：考虑膳食纤维</w:t>
            </w:r>
          </w:p>
        </w:tc>
        <w:tc>
          <w:tcPr>
            <w:tcW w:type="dxa" w:w="226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5.00</w:t>
            </w:r>
          </w:p>
        </w:tc>
        <w:tc>
          <w:tcPr>
            <w:tcW w:type="dxa" w:w="4604"/>
            <w:vAlign w:val="center"/>
            <w:shd w:fill="F7FAF9"/>
            <w:tcMar>
              <w:top w:w="76" w:type="dxa"/>
              <w:bottom w:w="76" w:type="dxa"/>
              <w:left w:w="112" w:type="dxa"/>
              <w:right w:w="112" w:type="dxa"/>
            </w:tcMar>
          </w:tcPr>
          <w:p>
            <w:pPr>
              <w:spacing w:before="0" w:after="0" w:line="254" w:lineRule="auto"/>
              <w:jc w:val="left"/>
            </w:pPr>
            <w:r/>
            <w:r>
              <w:rPr>
                <w:rFonts w:ascii="等线" w:hAnsi="等线" w:eastAsia="等线" w:cs="等线"/>
                <w:b w:val="0"/>
                <w:color w:val="17343A"/>
                <w:sz w:val="16"/>
              </w:rPr>
              <w:t>计算总碳水及可利用碳水</w:t>
            </w:r>
          </w:p>
        </w:tc>
      </w:tr>
    </w:tbl>
    <w:p>
      <w:pPr>
        <w:pStyle w:val="Heading2"/>
      </w:pPr>
      <w:r>
        <w:t>3.1 标准基础值与肌酸校正值的完整计算</w:t>
      </w:r>
    </w:p>
    <w:p>
      <w:pPr>
        <w:keepLines/>
        <w:spacing w:before="40" w:after="50" w:line="250" w:lineRule="auto"/>
        <w:ind w:left="142" w:right="85"/>
        <w:shd w:fill="EAF0F6"/>
      </w:pPr>
      <w:r>
        <w:rPr>
          <w:rFonts w:ascii="等线" w:hAnsi="等线" w:eastAsia="等线" w:cs="等线"/>
          <w:b/>
          <w:color w:val="0C3D46"/>
          <w:sz w:val="17"/>
        </w:rPr>
        <w:t>肌酸、蛋白质与总碳水（单位 g/100 g）</w:t>
        <w:br/>
      </w:r>
      <w:r>
        <w:rPr>
          <w:rFonts w:ascii="等线" w:hAnsi="等线" w:eastAsia="等线" w:cs="等线"/>
          <w:b/>
          <w:color w:val="17343A"/>
          <w:sz w:val="17"/>
        </w:rPr>
        <w:t>无水肌酸当量 = 6.00 × 131.13 ÷ 149.15 = 5.28</w:t>
        <w:br/>
        <w:t>肌酸氮 = 6.00 × 42.03 ÷ 149.15 = 1.6908（结果1.69）</w:t>
        <w:br/>
        <w:t>标准基础蛋白质 = 10.00 × 6.25 = 62.50</w:t>
        <w:br/>
        <w:t>肌酸校正蛋白质 =（10.00－1.6908）× 6.25 = 51.93</w:t>
        <w:br/>
        <w:t>标准基础总碳水 = 100－62.50－10.00－6.00－3.00 = 18.50</w:t>
        <w:br/>
        <w:t>肌酸校正总碳水 = 100－51.93－10.00－6.00－3.00－5.28 = 23.79</w:t>
      </w:r>
      <w:r>
        <w:rPr>
          <w:rFonts w:ascii="等线" w:hAnsi="等线" w:eastAsia="等线" w:cs="等线"/>
          <w:color w:val="5B6E72"/>
          <w:sz w:val="15"/>
        </w:rPr>
        <w:br/>
        <w:t>结果保留两位小数；中间值使用未四舍五入数参与后续计算。</w:t>
      </w:r>
    </w:p>
    <w:p>
      <w:pPr>
        <w:pStyle w:val="Heading2"/>
      </w:pPr>
      <w:r>
        <w:t>3.2 不考虑 / 考虑膳食纤维的结果（单位 g/100 g）</w:t>
      </w:r>
    </w:p>
    <w:tbl>
      <w:tblPr>
        <w:tblStyle w:val="TableGrid"/>
        <w:tblW w:type="dxa" w:w="9864"/>
        <w:jc w:val="left"/>
        <w:tblLayout w:type="fixed"/>
        <w:tblLook w:firstColumn="1" w:firstRow="1" w:lastColumn="0" w:lastRow="0" w:noHBand="0" w:noVBand="1" w:val="04A0"/>
        <w:tblInd w:w="120" w:type="dxa"/>
      </w:tblPr>
      <w:tblGrid>
        <w:gridCol w:w="3600"/>
        <w:gridCol w:w="2100"/>
        <w:gridCol w:w="2260"/>
        <w:gridCol w:w="1904"/>
      </w:tblGrid>
      <w:tr>
        <w:trPr>
          <w:tblHeader w:val="true"/>
          <w:cantSplit/>
        </w:trPr>
        <w:tc>
          <w:tcPr>
            <w:tcW w:type="dxa" w:w="3600"/>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结果项目</w:t>
            </w:r>
          </w:p>
        </w:tc>
        <w:tc>
          <w:tcPr>
            <w:tcW w:type="dxa" w:w="2100"/>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标准基础值</w:t>
            </w:r>
          </w:p>
        </w:tc>
        <w:tc>
          <w:tcPr>
            <w:tcW w:type="dxa" w:w="2260"/>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肌酸校正技术值</w:t>
            </w:r>
          </w:p>
        </w:tc>
        <w:tc>
          <w:tcPr>
            <w:tcW w:type="dxa" w:w="1904"/>
            <w:vAlign w:val="center"/>
            <w:shd w:fill="0C3D46"/>
            <w:tcMar>
              <w:top w:w="76" w:type="dxa"/>
              <w:bottom w:w="76" w:type="dxa"/>
              <w:left w:w="112" w:type="dxa"/>
              <w:right w:w="112" w:type="dxa"/>
            </w:tcMar>
          </w:tcPr>
          <w:p>
            <w:pPr>
              <w:spacing w:before="0" w:after="0" w:line="254" w:lineRule="auto"/>
              <w:jc w:val="center"/>
            </w:pPr>
            <w:r/>
            <w:r>
              <w:rPr>
                <w:rFonts w:ascii="等线" w:hAnsi="等线" w:eastAsia="等线" w:cs="等线"/>
                <w:b/>
                <w:color w:val="FFFFFF"/>
                <w:sz w:val="16"/>
              </w:rPr>
              <w:t>差异</w:t>
            </w:r>
          </w:p>
        </w:tc>
      </w:tr>
      <w:tr>
        <w:trPr>
          <w:cantSplit/>
        </w:trPr>
        <w:tc>
          <w:tcPr>
            <w:tcW w:type="dxa" w:w="3600"/>
            <w:vAlign w:val="center"/>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蛋白质（两种情形相同）</w:t>
            </w:r>
          </w:p>
        </w:tc>
        <w:tc>
          <w:tcPr>
            <w:tcW w:type="dxa" w:w="210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62.50</w:t>
            </w:r>
          </w:p>
        </w:tc>
        <w:tc>
          <w:tcPr>
            <w:tcW w:type="dxa" w:w="226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51.93</w:t>
            </w:r>
          </w:p>
        </w:tc>
        <w:tc>
          <w:tcPr>
            <w:tcW w:type="dxa" w:w="1904"/>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－10.57</w:t>
            </w:r>
          </w:p>
        </w:tc>
      </w:tr>
      <w:tr>
        <w:trPr>
          <w:cantSplit/>
        </w:trPr>
        <w:tc>
          <w:tcPr>
            <w:tcW w:type="dxa" w:w="3600"/>
            <w:vAlign w:val="center"/>
            <w:shd w:fill="F7FAF9"/>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情形A：总碳水</w:t>
            </w:r>
          </w:p>
        </w:tc>
        <w:tc>
          <w:tcPr>
            <w:tcW w:type="dxa" w:w="210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18.50</w:t>
            </w:r>
          </w:p>
        </w:tc>
        <w:tc>
          <w:tcPr>
            <w:tcW w:type="dxa" w:w="226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23.79</w:t>
            </w:r>
          </w:p>
        </w:tc>
        <w:tc>
          <w:tcPr>
            <w:tcW w:type="dxa" w:w="1904"/>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+5.29</w:t>
            </w:r>
          </w:p>
        </w:tc>
      </w:tr>
      <w:tr>
        <w:trPr>
          <w:cantSplit/>
        </w:trPr>
        <w:tc>
          <w:tcPr>
            <w:tcW w:type="dxa" w:w="3600"/>
            <w:vAlign w:val="center"/>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情形A：可利用碳水</w:t>
            </w:r>
          </w:p>
        </w:tc>
        <w:tc>
          <w:tcPr>
            <w:tcW w:type="dxa" w:w="210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不计算</w:t>
            </w:r>
          </w:p>
        </w:tc>
        <w:tc>
          <w:tcPr>
            <w:tcW w:type="dxa" w:w="226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不计算</w:t>
            </w:r>
          </w:p>
        </w:tc>
        <w:tc>
          <w:tcPr>
            <w:tcW w:type="dxa" w:w="1904"/>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w:t>
            </w:r>
          </w:p>
        </w:tc>
      </w:tr>
      <w:tr>
        <w:trPr>
          <w:cantSplit/>
        </w:trPr>
        <w:tc>
          <w:tcPr>
            <w:tcW w:type="dxa" w:w="3600"/>
            <w:vAlign w:val="center"/>
            <w:shd w:fill="F7FAF9"/>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情形B：总碳水</w:t>
            </w:r>
          </w:p>
        </w:tc>
        <w:tc>
          <w:tcPr>
            <w:tcW w:type="dxa" w:w="210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18.50</w:t>
            </w:r>
          </w:p>
        </w:tc>
        <w:tc>
          <w:tcPr>
            <w:tcW w:type="dxa" w:w="2260"/>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23.79</w:t>
            </w:r>
          </w:p>
        </w:tc>
        <w:tc>
          <w:tcPr>
            <w:tcW w:type="dxa" w:w="1904"/>
            <w:vAlign w:val="center"/>
            <w:shd w:fill="F7FAF9"/>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+5.29</w:t>
            </w:r>
          </w:p>
        </w:tc>
      </w:tr>
      <w:tr>
        <w:trPr>
          <w:cantSplit/>
        </w:trPr>
        <w:tc>
          <w:tcPr>
            <w:tcW w:type="dxa" w:w="3600"/>
            <w:vAlign w:val="center"/>
            <w:tcMar>
              <w:top w:w="76" w:type="dxa"/>
              <w:bottom w:w="76" w:type="dxa"/>
              <w:left w:w="112" w:type="dxa"/>
              <w:right w:w="112" w:type="dxa"/>
            </w:tcMar>
          </w:tcPr>
          <w:p>
            <w:pPr>
              <w:spacing w:before="0" w:after="0" w:line="254" w:lineRule="auto"/>
              <w:jc w:val="center"/>
            </w:pPr>
            <w:r/>
            <w:r>
              <w:rPr>
                <w:rFonts w:ascii="等线" w:hAnsi="等线" w:eastAsia="等线" w:cs="等线"/>
                <w:b/>
                <w:color w:val="17343A"/>
                <w:sz w:val="16"/>
              </w:rPr>
              <w:t>情形B：可利用碳水（DF=5.00）</w:t>
            </w:r>
          </w:p>
        </w:tc>
        <w:tc>
          <w:tcPr>
            <w:tcW w:type="dxa" w:w="210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13.50</w:t>
            </w:r>
          </w:p>
        </w:tc>
        <w:tc>
          <w:tcPr>
            <w:tcW w:type="dxa" w:w="2260"/>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18.79</w:t>
            </w:r>
          </w:p>
        </w:tc>
        <w:tc>
          <w:tcPr>
            <w:tcW w:type="dxa" w:w="1904"/>
            <w:vAlign w:val="center"/>
            <w:tcMar>
              <w:top w:w="76" w:type="dxa"/>
              <w:bottom w:w="76" w:type="dxa"/>
              <w:left w:w="112" w:type="dxa"/>
              <w:right w:w="112" w:type="dxa"/>
            </w:tcMar>
          </w:tcPr>
          <w:p>
            <w:pPr>
              <w:spacing w:before="0" w:after="0" w:line="254" w:lineRule="auto"/>
              <w:jc w:val="right"/>
            </w:pPr>
            <w:r/>
            <w:r>
              <w:rPr>
                <w:rFonts w:ascii="等线" w:hAnsi="等线" w:eastAsia="等线" w:cs="等线"/>
                <w:b w:val="0"/>
                <w:color w:val="17343A"/>
                <w:sz w:val="16"/>
              </w:rPr>
              <w:t>+5.29</w:t>
            </w:r>
          </w:p>
        </w:tc>
      </w:tr>
    </w:tbl>
    <w:p>
      <w:pPr>
        <w:keepLines/>
        <w:spacing w:before="50" w:after="70" w:line="264" w:lineRule="auto"/>
        <w:ind w:left="142" w:right="85"/>
        <w:shd w:fill="EEF6F5"/>
        <w:pBdr>
          <w:left w:val="single" w:sz="18" w:space="7" w:color="176873"/>
        </w:pBdr>
      </w:pPr>
      <w:r>
        <w:rPr>
          <w:rFonts w:ascii="等线" w:hAnsi="等线" w:eastAsia="等线" w:cs="等线"/>
          <w:b/>
          <w:color w:val="0C3D46"/>
          <w:sz w:val="17"/>
        </w:rPr>
        <w:t xml:space="preserve">结果解释  </w:t>
      </w:r>
      <w:r>
        <w:rPr>
          <w:rFonts w:ascii="等线" w:hAnsi="等线" w:eastAsia="等线" w:cs="等线"/>
          <w:color w:val="17343A"/>
          <w:sz w:val="17"/>
        </w:rPr>
        <w:t>肌酸氮校正使蛋白质由62.50降至51.93；将5.28的无水肌酸当量作为非碳水固形物单列后，总碳水由18.50调整为23.79。膳食纤维只影响可利用碳水，不改变总碳水。</w:t>
      </w:r>
    </w:p>
    <w:p>
      <w:pPr>
        <w:pStyle w:val="Heading1"/>
      </w:pPr>
      <w:r>
        <w:t>4. 最低确认清单</w:t>
      </w:r>
    </w:p>
    <w:p>
      <w:pPr>
        <w:spacing w:before="0" w:after="32" w:line="240" w:lineRule="auto"/>
      </w:pPr>
      <w:r>
        <w:rPr>
          <w:rFonts w:ascii="等线" w:hAnsi="等线" w:eastAsia="等线" w:cs="等线"/>
          <w:color w:val="17343A"/>
          <w:sz w:val="16"/>
        </w:rPr>
        <w:t>□ 一水 / 无水肌酸口径明确；    □ 肌酸氮不高于总氮；</w:t>
      </w:r>
    </w:p>
    <w:p>
      <w:pPr>
        <w:spacing w:before="0" w:after="32" w:line="240" w:lineRule="auto"/>
      </w:pPr>
      <w:r>
        <w:rPr>
          <w:rFonts w:ascii="等线" w:hAnsi="等线" w:eastAsia="等线" w:cs="等线"/>
          <w:color w:val="17343A"/>
          <w:sz w:val="16"/>
        </w:rPr>
        <w:t>□ 蛋白质折算系数及依据已确认；    □ 其他显著非蛋白氮已排除或说明；</w:t>
      </w:r>
    </w:p>
    <w:p>
      <w:pPr>
        <w:pStyle w:val="Heading2"/>
      </w:pPr>
      <w:r>
        <w:t>依据与版本</w:t>
      </w:r>
    </w:p>
    <w:p>
      <w:pPr>
        <w:spacing w:before="0" w:after="12" w:line="240" w:lineRule="auto"/>
      </w:pPr>
      <w:r>
        <w:rPr>
          <w:rFonts w:ascii="等线" w:hAnsi="等线" w:eastAsia="等线" w:cs="等线"/>
          <w:color w:val="5B6E72"/>
          <w:sz w:val="14"/>
        </w:rPr>
        <w:t xml:space="preserve">1. 国家卫生健康委：GB 5009.5—2025 发布公告（总氮及蛋白质折算基础）。 </w:t>
      </w:r>
      <w:hyperlink r:id="rId11">
        <w:r>
          <w:rPr>
            <w:rFonts w:ascii="等线" w:hAnsi="等线" w:eastAsia="等线" w:cs="等线"/>
            <w:color w:val="2E74B5"/>
            <w:u w:val="single"/>
            <w:sz w:val="14"/>
          </w:rPr>
          <w:t>来源</w:t>
        </w:r>
      </w:hyperlink>
    </w:p>
    <w:p>
      <w:pPr>
        <w:spacing w:before="0" w:after="12" w:line="240" w:lineRule="auto"/>
      </w:pPr>
      <w:r>
        <w:rPr>
          <w:rFonts w:ascii="等线" w:hAnsi="等线" w:eastAsia="等线" w:cs="等线"/>
          <w:color w:val="5B6E72"/>
          <w:sz w:val="14"/>
        </w:rPr>
        <w:t xml:space="preserve">2. 国家卫生健康委：GB 28050—2025 官方问答（总 / 可利用碳水计算逻辑）。 </w:t>
      </w:r>
      <w:hyperlink r:id="rId12">
        <w:r>
          <w:rPr>
            <w:rFonts w:ascii="等线" w:hAnsi="等线" w:eastAsia="等线" w:cs="等线"/>
            <w:color w:val="2E74B5"/>
            <w:u w:val="single"/>
            <w:sz w:val="14"/>
          </w:rPr>
          <w:t>来源</w:t>
        </w:r>
      </w:hyperlink>
    </w:p>
    <w:p>
      <w:pPr>
        <w:spacing w:before="0" w:after="12" w:line="240" w:lineRule="auto"/>
      </w:pPr>
      <w:r>
        <w:rPr>
          <w:rFonts w:ascii="等线" w:hAnsi="等线" w:eastAsia="等线" w:cs="等线"/>
          <w:color w:val="5B6E72"/>
          <w:sz w:val="14"/>
        </w:rPr>
        <w:t xml:space="preserve">3. FAO：Food energy - methods of analysis and conversion factors（非蛋白氮及差减法边界）。 </w:t>
      </w:r>
      <w:hyperlink r:id="rId13">
        <w:r>
          <w:rPr>
            <w:rFonts w:ascii="等线" w:hAnsi="等线" w:eastAsia="等线" w:cs="等线"/>
            <w:color w:val="2E74B5"/>
            <w:u w:val="single"/>
            <w:sz w:val="14"/>
          </w:rPr>
          <w:t>来源</w:t>
        </w:r>
      </w:hyperlink>
    </w:p>
    <w:p>
      <w:pPr>
        <w:spacing w:before="0" w:after="12" w:line="240" w:lineRule="auto"/>
      </w:pPr>
      <w:r>
        <w:rPr>
          <w:rFonts w:ascii="等线" w:hAnsi="等线" w:eastAsia="等线" w:cs="等线"/>
          <w:color w:val="5B6E72"/>
          <w:sz w:val="14"/>
        </w:rPr>
        <w:t xml:space="preserve">4. PubChem：Creatine / Creatine monohydrate（相对分子质量131.13 / 149.15 g/mol）。 </w:t>
      </w:r>
      <w:hyperlink r:id="rId14">
        <w:r>
          <w:rPr>
            <w:rFonts w:ascii="等线" w:hAnsi="等线" w:eastAsia="等线" w:cs="等线"/>
            <w:color w:val="2E74B5"/>
            <w:u w:val="single"/>
            <w:sz w:val="14"/>
          </w:rPr>
          <w:t>来源</w:t>
        </w:r>
      </w:hyperlink>
    </w:p>
    <w:p>
      <w:pPr>
        <w:spacing w:before="30" w:after="0"/>
      </w:pPr>
      <w:r>
        <w:rPr>
          <w:rFonts w:ascii="等线" w:hAnsi="等线" w:eastAsia="等线" w:cs="等线"/>
          <w:color w:val="5B6E72"/>
          <w:sz w:val="14"/>
        </w:rPr>
        <w:t>版本说明：V1.3仅处理肌酸，不覆盖其他非蛋白氮、糖醇、能量计算或具体产品标准判定。最新版本以 https://neilyu.cn/creatine-correction/ 为准。</w:t>
      </w:r>
    </w:p>
    <w:sectPr w:rsidR="00FC693F" w:rsidRPr="0006063C" w:rsidSect="00034616">
      <w:headerReference w:type="default" r:id="rId9"/>
      <w:footerReference w:type="default" r:id="rId10"/>
      <w:pgSz w:w="11906" w:h="16838"/>
      <w:pgMar w:top="879" w:right="1020" w:bottom="822" w:left="1020"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等线" w:hAnsi="等线" w:eastAsia="等线" w:cs="等线"/>
        <w:color w:val="5B6E72"/>
        <w:sz w:val="14"/>
      </w:rPr>
      <w:t xml:space="preserve">v1.3  |  </w:t>
    </w:r>
    <w:r>
      <w:rPr>
        <w:rFonts w:ascii="等线" w:hAnsi="等线" w:eastAsia="等线" w:cs="等线"/>
        <w:color w:val="5B6E72"/>
        <w:sz w:val="15"/>
      </w:rPr>
      <w:fldChar w:fldCharType="begin"/>
      <w:instrText xml:space="preserve"> PAGE </w:instrText>
      <w:fldChar w:fldCharType="separate"/>
      <w:t>1</w:t>
      <w:fldChar w:fldCharType="end"/>
    </w:r>
    <w:r>
      <w:rPr>
        <w:rFonts w:ascii="等线" w:hAnsi="等线" w:eastAsia="等线" w:cs="等线"/>
        <w:color w:val="5B6E72"/>
        <w:sz w:val="14"/>
      </w:rPr>
      <w:t xml:space="preserve"> / </w:t>
    </w:r>
    <w:r>
      <w:rPr>
        <w:rFonts w:ascii="等线" w:hAnsi="等线" w:eastAsia="等线" w:cs="等线"/>
        <w:color w:val="5B6E72"/>
        <w:sz w:val="15"/>
      </w:rPr>
      <w:fldChar w:fldCharType="begin"/>
      <w:instrText xml:space="preserve"> NUMPAGES </w:instrText>
      <w:fldChar w:fldCharType="separate"/>
      <w:t>2</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等线" w:hAnsi="等线" w:eastAsia="等线" w:cs="等线"/>
        <w:b/>
        <w:color w:val="0C3D46"/>
        <w:sz w:val="15"/>
      </w:rPr>
      <w:t>食规技术笔记</w:t>
    </w:r>
    <w:r>
      <w:rPr>
        <w:rFonts w:ascii="等线" w:hAnsi="等线" w:eastAsia="等线" w:cs="等线"/>
        <w:color w:val="5B6E72"/>
        <w:sz w:val="15"/>
      </w:rPr>
      <w:t xml:space="preserve">  |  高含量肌酸产品技术校正</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70" w:line="271" w:lineRule="auto"/>
    </w:pPr>
    <w:rPr>
      <w:rFonts w:ascii="等线" w:hAnsi="等线" w:eastAsia="等线" w:cs="等线"/>
      <w:color w:val="1734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等线" w:hAnsi="等线" w:eastAsia="等线" w:cs="等线"/>
      <w:color w:val="5B6E72"/>
      <w:sz w:val="15"/>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等线" w:hAnsi="等线" w:eastAsia="等线" w:cs="等线"/>
      <w:color w:val="5B6E72"/>
      <w:sz w:val="15"/>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90"/>
      <w:outlineLvl w:val="0"/>
    </w:pPr>
    <w:rPr>
      <w:rFonts w:ascii="等线" w:hAnsi="等线" w:eastAsia="等线" w:cs="等线"/>
      <w:b/>
      <w:bCs/>
      <w:color w:val="2E74B5"/>
      <w:sz w:val="29"/>
      <w:szCs w:val="28"/>
    </w:rPr>
  </w:style>
  <w:style w:type="paragraph" w:styleId="Heading2">
    <w:name w:val="heading 2"/>
    <w:basedOn w:val="Normal"/>
    <w:next w:val="Normal"/>
    <w:link w:val="Heading2Char"/>
    <w:uiPriority w:val="9"/>
    <w:unhideWhenUsed/>
    <w:qFormat/>
    <w:rsid w:val="00FC693F"/>
    <w:pPr>
      <w:keepNext/>
      <w:keepLines/>
      <w:spacing w:before="100" w:after="50"/>
      <w:outlineLvl w:val="1"/>
    </w:pPr>
    <w:rPr>
      <w:rFonts w:ascii="等线" w:hAnsi="等线" w:eastAsia="等线" w:cs="等线"/>
      <w:b/>
      <w:bCs/>
      <w:color w:val="2E74B5"/>
      <w:sz w:val="24"/>
      <w:szCs w:val="26"/>
    </w:rPr>
  </w:style>
  <w:style w:type="paragraph" w:styleId="Heading3">
    <w:name w:val="heading 3"/>
    <w:basedOn w:val="Normal"/>
    <w:next w:val="Normal"/>
    <w:link w:val="Heading3Char"/>
    <w:uiPriority w:val="9"/>
    <w:unhideWhenUsed/>
    <w:qFormat/>
    <w:rsid w:val="00FC693F"/>
    <w:pPr>
      <w:keepNext/>
      <w:keepLines/>
      <w:spacing w:before="70" w:after="40"/>
      <w:outlineLvl w:val="2"/>
    </w:pPr>
    <w:rPr>
      <w:rFonts w:ascii="等线" w:hAnsi="等线" w:eastAsia="等线" w:cs="等线"/>
      <w:b/>
      <w:bCs/>
      <w:color w:val="0C3D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nhc.gov.cn/wjw/zcwjgg/202503/97802a2683b840dd8be0e1449982c6a5.shtml" TargetMode="External"/><Relationship Id="rId12" Type="http://schemas.openxmlformats.org/officeDocument/2006/relationships/hyperlink" Target="https://www.nhc.gov.cn/sps/c100087/202509/470fa4ff5de14dd38619223cce9da4e7.shtml" TargetMode="External"/><Relationship Id="rId13" Type="http://schemas.openxmlformats.org/officeDocument/2006/relationships/hyperlink" Target="https://www.fao.org/4/y5022e/y5022e03.htm" TargetMode="External"/><Relationship Id="rId14" Type="http://schemas.openxmlformats.org/officeDocument/2006/relationships/hyperlink" Target="https://pubchem.ncbi.nlm.nih.gov/compound/Crea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高含量肌酸产品蛋白质与碳水化合物技术校正说明及计算公式</dc:title>
  <dc:subject>实验室快速参考版</dc:subject>
  <dc:creator>Neil Yu</dc:creator>
  <cp:keywords>肌酸, 非蛋白氮, 蛋白质, 碳水化合物, 实验室评估</cp:keywords>
  <dc:description>Public technical guide v1.3</dc:description>
  <cp:lastModifiedBy/>
  <cp:revision>1</cp:revision>
  <dcterms:created xsi:type="dcterms:W3CDTF">2013-12-23T23:15:00Z</dcterms:created>
  <dcterms:modified xsi:type="dcterms:W3CDTF">2013-12-23T23:15:00Z</dcterms:modified>
  <cp:category/>
</cp:coreProperties>
</file>