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饮料行业资讯周报（内部测试版）</w:t>
      </w:r>
    </w:p>
    <w:p w14:paraId="1DF36016" w14:textId="77777777" w:rsidR="00741353" w:rsidRDefault="00AF0D74">
      <w:pPr>
        <w:pStyle w:val="ac"/>
        <w:spacing w:after="160" w:line="320" w:lineRule="exact"/>
        <w:wordWrap w:val="0"/>
      </w:pPr>
      <w:r>
        <w:t>2026年9月4日16:30至9月11日16:30（北京时间）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一、法规标准与标签宣称</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南通就食品加工用植物蛋白肽生产许可审查方案公开征求意见。</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二、质量安全与检测预警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浙江抽检发现1批包装饮用水铜绿假单胞菌不合格。</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RASFF通报中国绿茶农药残留，产品未投放市场并作销毁处理。</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三、原料配方与产品研发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2O3推出蜂蜜与电解质复配的即饮运动补水饮料。</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研究以多平台分析建立德州赤霞珠与丹娜葡萄酒化学和感官数据集。</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四、加工工艺、装备与包装</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中国饮料工业协会发布首期易拉罐卷封技术实操培训通知。</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五、市场消费、企业与供应链</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越南前8个月咖啡出口近170万吨、超60亿美元，EUDR准备成为订单变量。</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六、资源效率、绿色制造与技术交流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回收服务商披露累计处理超10亿个完整饮料容器的运营案例。</w:t>
            </w:r>
          </w:p>
        </w:tc>
      </w:tr>
    </w:tbl>
    <w:p w14:paraId="0DAB29BE" w14:textId="77777777" w:rsidR="00741353" w:rsidRDefault="00AF0D74">
      <w:pPr>
        <w:spacing w:line="290" w:lineRule="exact"/>
        <w:wordWrap w:val="0"/>
      </w:pPr>
      <w:r>
        <w:rPr>
          <w:rFonts w:ascii="宋体" w:eastAsia="宋体" w:hAnsi="宋体" w:cs="宋体"/>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一、法规标准与标签宣称</w:t>
      </w:r>
    </w:p>
    <w:p w14:paraId="48D7440C" w14:textId="77777777" w:rsidR="00741353" w:rsidRDefault="00AF0D74">
      <w:pPr>
        <w:pStyle w:val="21"/>
        <w:spacing w:before="140" w:line="380" w:lineRule="exact"/>
        <w:wordWrap w:val="0"/>
      </w:pPr>
      <w:r>
        <w:t>南通拟细化食品加工用植物蛋白肽生产许可审查</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中国内地｜9月9日公开，属于地方生产许可征求意见</w:t>
      </w:r>
    </w:p>
    <w:p w14:paraId="75463394" w14:textId="77777777" w:rsidR="00741353" w:rsidRDefault="00AF0D74">
      <w:pPr>
        <w:keepNext/>
        <w:spacing w:line="360" w:lineRule="exact"/>
        <w:ind w:firstLine="480"/>
        <w:wordWrap w:val="0"/>
        <w:keepLines w:val="1"/>
      </w:pPr>
      <w:r>
        <w:t>南通市市场监督管理局公开征求《其他食品（食品加工用植物蛋白肽）生产许可审查方案》意见。征求意见稿将植物蛋白肽归入“其他食品”，涉及以食用植物、粕类或植物蛋白为原料，经提取、水解或发酵、过滤、杀菌、干燥等工艺制得的食品加工用原料。</w:t>
      </w:r>
    </w:p>
    <w:p w14:paraId="75463394" w14:textId="77777777" w:rsidR="00741353" w:rsidRDefault="00AF0D74">
      <w:pPr>
        <w:keepNext/>
        <w:spacing w:line="360" w:lineRule="exact"/>
        <w:ind w:firstLine="480"/>
        <w:wordWrap w:val="0"/>
        <w:keepLines w:val="1"/>
      </w:pPr>
      <w:r>
        <w:t>该方案面向生产许可审查，并非饮料成品新分类或已生效的全国统一要求。文件还明确不适用于胶囊、口服液、片剂和丸剂等形态；饮料企业如采购相关配料，应继续核对原料产品类别、供应商许可和最终产品适用标准。</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南通市市场监管局公告及征求意见稿</w:t>
        </w:r>
      </w:hyperlink>
    </w:p>
    <w:p w14:paraId="7A6D2953" w14:textId="77777777" w:rsidR="00741353" w:rsidRDefault="00AF0D74">
      <w:pPr>
        <w:pStyle w:val="1"/>
        <w:spacing w:before="200" w:line="440" w:lineRule="exact"/>
        <w:wordWrap w:val="0"/>
        <w:pageBreakBefore w:val="0"/>
      </w:pPr>
      <w:r>
        <w:t>二、质量安全与检测预警</w:t>
      </w:r>
    </w:p>
    <w:p w14:paraId="48D7440C" w14:textId="77777777" w:rsidR="00741353" w:rsidRDefault="00AF0D74">
      <w:pPr>
        <w:pStyle w:val="21"/>
        <w:spacing w:before="140" w:line="380" w:lineRule="exact"/>
        <w:wordWrap w:val="0"/>
      </w:pPr>
      <w:r>
        <w:t>浙江通报包装饮用水铜绿假单胞菌项目不合格</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中国内地｜9月7日16:30公开，属于省级监督抽检</w:t>
      </w:r>
    </w:p>
    <w:p w14:paraId="75463394" w14:textId="77777777" w:rsidR="00741353" w:rsidRDefault="00AF0D74">
      <w:pPr>
        <w:keepNext/>
        <w:spacing w:line="360" w:lineRule="exact"/>
        <w:ind w:firstLine="480"/>
        <w:wordWrap w:val="0"/>
        <w:keepLines w:val="1"/>
      </w:pPr>
      <w:r>
        <w:t>浙江省市场监管局公布505批次食品抽检结果，检出8批次不合格。本专题相关项目为1批包装饮用水铜绿假单胞菌不符合食品安全国家标准；其余不合格样品涉及年糕、海蜇、果蔬、水产、荔枝和白茶等类别。</w:t>
      </w:r>
    </w:p>
    <w:p w14:paraId="75463394" w14:textId="77777777" w:rsidR="00741353" w:rsidRDefault="00AF0D74">
      <w:pPr>
        <w:keepNext/>
        <w:spacing w:line="360" w:lineRule="exact"/>
        <w:ind w:firstLine="480"/>
        <w:wordWrap w:val="0"/>
        <w:keepLines w:val="1"/>
      </w:pPr>
      <w:r>
        <w:t>本条只对应公告所列样品和检验项目，不能据此推断同品牌其他批次、全省包装水总体水平或污染发生环节。企业可将该案例用于复核水处理、灌装环境、容器清洗及批次追溯等控制点，具体处置以监管部门后续核查为准。</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2">
        <w:r>
          <w:rPr>
            <w:rFonts w:ascii="宋体" w:eastAsia="宋体" w:hAnsi="宋体" w:cs="宋体"/>
            <w:color w:val="245D83"/>
            <w:sz w:val="19"/>
            <w:szCs w:val="19"/>
            <w:u w:val="single"/>
          </w:rPr>
          <w:t>浙江省市场监管局抽检通告</w:t>
        </w:r>
      </w:hyperlink>
    </w:p>
    <w:p w14:paraId="48D7440C" w14:textId="77777777" w:rsidR="00741353" w:rsidRDefault="00AF0D74">
      <w:pPr>
        <w:pStyle w:val="21"/>
        <w:spacing w:before="140" w:line="380" w:lineRule="exact"/>
        <w:wordWrap w:val="0"/>
      </w:pPr>
      <w:r>
        <w:t>RASFF边境拒绝中国绿茶农药残留批次</w:t>
      </w:r>
    </w:p>
    <w:p w14:paraId="055A539C" w14:textId="77777777" w:rsidR="00741353" w:rsidRDefault="00AF0D74">
      <w:pPr>
        <w:keepNext/>
        <w:spacing w:line="290" w:lineRule="exact"/>
        <w:wordWrap w:val="0"/>
      </w:pPr>
      <w:r>
        <w:rPr>
          <w:rFonts w:ascii="宋体" w:eastAsia="宋体" w:hAnsi="宋体" w:cs="宋体"/>
          <w:color w:val="555555"/>
          <w:sz w:val="19"/>
          <w:szCs w:val="19"/>
        </w:rPr>
        <w:t>欧盟｜9月7日验证公开，属于边境拒绝通报</w:t>
      </w:r>
    </w:p>
    <w:p w14:paraId="75463394" w14:textId="77777777" w:rsidR="00741353" w:rsidRDefault="00AF0D74">
      <w:pPr>
        <w:keepNext/>
        <w:spacing w:line="360" w:lineRule="exact"/>
        <w:ind w:firstLine="480"/>
        <w:wordWrap w:val="0"/>
        <w:keepLines w:val="1"/>
      </w:pPr>
      <w:r>
        <w:t>欧盟RASFF通报2026.7881涉及来自中国的绿茶，记录氯吡硫磷和高效氯氟氰菊酯残留问题。通报类型为边境拒绝，风险被标记为潜在严重；公开记录显示产品未投放市场并作销毁处理。</w:t>
      </w:r>
    </w:p>
    <w:p w14:paraId="75463394" w14:textId="77777777" w:rsidR="00741353" w:rsidRDefault="00AF0D74">
      <w:pPr>
        <w:keepNext/>
        <w:spacing w:line="360" w:lineRule="exact"/>
        <w:ind w:firstLine="480"/>
        <w:wordWrap w:val="0"/>
        <w:keepLines w:val="1"/>
      </w:pPr>
      <w:r>
        <w:t>该事件可作为茶饮企业审核茶叶原料农残控制和出口批次合规的风险信号，但不等同于中国国内市场召回，也不能外推至其他产地、供应商或成品饮料。限量、检测方法和处置要求应按目标市场法规及原通报核对。</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3">
        <w:r>
          <w:rPr>
            <w:rFonts w:ascii="宋体" w:eastAsia="宋体" w:hAnsi="宋体" w:cs="宋体"/>
            <w:color w:val="245D83"/>
            <w:sz w:val="19"/>
            <w:szCs w:val="19"/>
            <w:u w:val="single"/>
          </w:rPr>
          <w:t>RASFF通报2026.7881</w:t>
        </w:r>
      </w:hyperlink>
    </w:p>
    <w:p w14:paraId="7A6D2953" w14:textId="77777777" w:rsidR="00741353" w:rsidRDefault="00AF0D74">
      <w:pPr>
        <w:pStyle w:val="1"/>
        <w:spacing w:before="200" w:line="440" w:lineRule="exact"/>
        <w:wordWrap w:val="0"/>
        <w:pageBreakBefore w:val="0"/>
      </w:pPr>
      <w:r>
        <w:t>三、原料配方与产品研发</w:t>
      </w:r>
    </w:p>
    <w:p w14:paraId="48D7440C" w14:textId="77777777" w:rsidR="00741353" w:rsidRDefault="00AF0D74">
      <w:pPr>
        <w:pStyle w:val="21"/>
        <w:spacing w:before="140" w:line="380" w:lineRule="exact"/>
        <w:wordWrap w:val="0"/>
      </w:pPr>
      <w:r>
        <w:t>新品将蜂蜜与高剂量电解质组合用于运动补水场景</w:t>
      </w:r>
    </w:p>
    <w:p w14:paraId="055A539C" w14:textId="77777777" w:rsidR="00741353" w:rsidRDefault="00AF0D74">
      <w:pPr>
        <w:keepNext/>
        <w:spacing w:line="290" w:lineRule="exact"/>
        <w:wordWrap w:val="0"/>
      </w:pPr>
      <w:r>
        <w:rPr>
          <w:rFonts w:ascii="宋体" w:eastAsia="宋体" w:hAnsi="宋体" w:cs="宋体"/>
          <w:color w:val="555555"/>
          <w:sz w:val="19"/>
          <w:szCs w:val="19"/>
        </w:rPr>
        <w:t>美国｜9月10日品牌发布，属于商业新品披露</w:t>
      </w:r>
    </w:p>
    <w:p w14:paraId="75463394" w14:textId="77777777" w:rsidR="00741353" w:rsidRDefault="00AF0D74">
      <w:pPr>
        <w:keepNext/>
        <w:spacing w:line="360" w:lineRule="exact"/>
        <w:ind w:firstLine="480"/>
        <w:wordWrap w:val="0"/>
        <w:keepLines w:val="1"/>
      </w:pPr>
      <w:r>
        <w:t>品牌2O3宣布推出16盎司非碳酸即饮补水饮料，含钠1000毫克、钾340毫克和镁60毫克，并以蜂蜜和水果构建碳水化合物与风味体系，提供青柠和橙芒两种口味。品牌称产品面向高强度训练和比赛场景。</w:t>
      </w:r>
    </w:p>
    <w:p w14:paraId="75463394" w14:textId="77777777" w:rsidR="00741353" w:rsidRDefault="00AF0D74">
      <w:pPr>
        <w:keepNext/>
        <w:spacing w:line="360" w:lineRule="exact"/>
        <w:ind w:firstLine="480"/>
        <w:wordWrap w:val="0"/>
        <w:keepLines w:val="1"/>
      </w:pPr>
      <w:r>
        <w:t>这是企业新闻稿中的配方和定位信息，本刊未独立验证补水速度、运动表现或标签宣称，也不判断其在中国的配方与声称合规性。其研发参考价值在于电解质剂量、碳水来源和场景化定位的组合，应用时仍需开展安全、感官和法规评估。</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4">
        <w:r>
          <w:rPr>
            <w:rFonts w:ascii="宋体" w:eastAsia="宋体" w:hAnsi="宋体" w:cs="宋体"/>
            <w:color w:val="245D83"/>
            <w:sz w:val="19"/>
            <w:szCs w:val="19"/>
            <w:u w:val="single"/>
          </w:rPr>
          <w:t>2O3新品发布稿</w:t>
        </w:r>
      </w:hyperlink>
    </w:p>
    <w:p w14:paraId="48D7440C" w14:textId="77777777" w:rsidR="00741353" w:rsidRDefault="00AF0D74">
      <w:pPr>
        <w:pStyle w:val="21"/>
        <w:spacing w:before="140" w:line="380" w:lineRule="exact"/>
        <w:wordWrap w:val="0"/>
      </w:pPr>
      <w:r>
        <w:t>多平台分析比较德州葡萄酒的化学与感官特征</w:t>
      </w:r>
    </w:p>
    <w:p w14:paraId="055A539C" w14:textId="77777777" w:rsidR="00741353" w:rsidRDefault="00AF0D74">
      <w:pPr>
        <w:keepNext/>
        <w:spacing w:line="290" w:lineRule="exact"/>
        <w:wordWrap w:val="0"/>
      </w:pPr>
      <w:r>
        <w:rPr>
          <w:rFonts w:ascii="宋体" w:eastAsia="宋体" w:hAnsi="宋体" w:cs="宋体"/>
          <w:color w:val="555555"/>
          <w:sz w:val="19"/>
          <w:szCs w:val="19"/>
        </w:rPr>
        <w:t>国际研究｜9月7日在线发表，属于开放获取研究</w:t>
      </w:r>
    </w:p>
    <w:p w14:paraId="75463394" w14:textId="77777777" w:rsidR="00741353" w:rsidRDefault="00AF0D74">
      <w:pPr>
        <w:keepNext/>
        <w:spacing w:line="360" w:lineRule="exact"/>
        <w:ind w:firstLine="480"/>
        <w:wordWrap w:val="0"/>
        <w:keepLines w:val="1"/>
      </w:pPr>
      <w:r>
        <w:t>《Beverages》发表对26款德州赤霞珠和丹娜葡萄酒的研究，结合pH、滴定酸、酒精度、颜色、抗氧化活性、LC-MS/MS酚类分析、HS-SPME-GC-MS挥发物分析、非靶向代谢组学及HRATA感官评价，并与加州、法国和乌拉圭样品比较。</w:t>
      </w:r>
    </w:p>
    <w:p w14:paraId="75463394" w14:textId="77777777" w:rsidR="00741353" w:rsidRDefault="00AF0D74">
      <w:pPr>
        <w:keepNext/>
        <w:spacing w:line="360" w:lineRule="exact"/>
        <w:ind w:firstLine="480"/>
        <w:wordWrap w:val="0"/>
        <w:keepLines w:val="1"/>
      </w:pPr>
      <w:r>
        <w:t>研究提供了化学和感官联合表征的分析框架。作者同时指出样品来自不同生产者、年份和酿造工艺，因此区域差异可能由环境与工艺共同造成；多变量图中的化学物与感官属性关系属于共现，不应直接解释为因果或产区鉴真结论。</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5">
        <w:r>
          <w:rPr>
            <w:rFonts w:ascii="宋体" w:eastAsia="宋体" w:hAnsi="宋体" w:cs="宋体"/>
            <w:color w:val="245D83"/>
            <w:sz w:val="19"/>
            <w:szCs w:val="19"/>
            <w:u w:val="single"/>
          </w:rPr>
          <w:t>Beverages研究论文</w:t>
        </w:r>
      </w:hyperlink>
    </w:p>
    <w:p w14:paraId="7A6D2953" w14:textId="77777777" w:rsidR="00741353" w:rsidRDefault="00AF0D74">
      <w:pPr>
        <w:pStyle w:val="1"/>
        <w:spacing w:before="200" w:line="440" w:lineRule="exact"/>
        <w:wordWrap w:val="0"/>
        <w:pageBreakBefore w:val="0"/>
      </w:pPr>
      <w:r>
        <w:t>四、加工工艺、装备与包装</w:t>
      </w:r>
    </w:p>
    <w:p w14:paraId="48D7440C" w14:textId="77777777" w:rsidR="00741353" w:rsidRDefault="00AF0D74">
      <w:pPr>
        <w:pStyle w:val="21"/>
        <w:spacing w:before="140" w:line="380" w:lineRule="exact"/>
        <w:wordWrap w:val="0"/>
      </w:pPr>
      <w:r>
        <w:t>饮料行业启动易拉罐卷封技术实操培训</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中国内地｜9月9日发布，属于行业技术培训通知</w:t>
      </w:r>
    </w:p>
    <w:p w14:paraId="75463394" w14:textId="77777777" w:rsidR="00741353" w:rsidRDefault="00AF0D74">
      <w:pPr>
        <w:keepNext/>
        <w:spacing w:line="360" w:lineRule="exact"/>
        <w:ind w:firstLine="480"/>
        <w:wordWrap w:val="0"/>
        <w:keepLines w:val="1"/>
      </w:pPr>
      <w:r>
        <w:t>中国饮料工业协会发布《关于举办易拉罐卷封技术实操培训班（第一期）的通知》。该节点延续协会此前启用易拉罐卷封技术实训基地的安排，反映饮料企业对二重卷封实操能力、包装质量控制和专业技术人才培养的需求。</w:t>
      </w:r>
    </w:p>
    <w:p w14:paraId="75463394" w14:textId="77777777" w:rsidR="00741353" w:rsidRDefault="00AF0D74">
      <w:pPr>
        <w:keepNext/>
        <w:spacing w:line="360" w:lineRule="exact"/>
        <w:ind w:firstLine="480"/>
        <w:wordWrap w:val="0"/>
        <w:keepLines w:val="1"/>
      </w:pPr>
      <w:r>
        <w:t>本条仅依据协会公开标题、日期及既有基地说明识别培训方向，不把参加培训等同于认证、标准符合或产品质量保证。企业评估时仍需核对正式通知中的对象、课程、时间地点和报名条件。</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6">
        <w:r>
          <w:rPr>
            <w:rFonts w:ascii="宋体" w:eastAsia="宋体" w:hAnsi="宋体" w:cs="宋体"/>
            <w:color w:val="245D83"/>
            <w:sz w:val="19"/>
            <w:szCs w:val="19"/>
            <w:u w:val="single"/>
          </w:rPr>
          <w:t>中国饮料工业协会培训通知</w:t>
        </w:r>
      </w:hyperlink>
    </w:p>
    <w:p w14:paraId="7A6D2953" w14:textId="77777777" w:rsidR="00741353" w:rsidRDefault="00AF0D74">
      <w:pPr>
        <w:pStyle w:val="1"/>
        <w:spacing w:before="200" w:line="440" w:lineRule="exact"/>
        <w:wordWrap w:val="0"/>
        <w:pageBreakBefore w:val="0"/>
      </w:pPr>
      <w:r>
        <w:t>五、市场消费、企业与供应链</w:t>
      </w:r>
    </w:p>
    <w:p w14:paraId="48D7440C" w14:textId="77777777" w:rsidR="00741353" w:rsidRDefault="00AF0D74">
      <w:pPr>
        <w:pStyle w:val="21"/>
        <w:spacing w:before="140" w:line="380" w:lineRule="exact"/>
        <w:wordWrap w:val="0"/>
      </w:pPr>
      <w:r>
        <w:t>越南咖啡出口增长同时面临EUDR可追溯要求</w:t>
      </w:r>
    </w:p>
    <w:p w14:paraId="055A539C" w14:textId="77777777" w:rsidR="00741353" w:rsidRDefault="00AF0D74">
      <w:pPr>
        <w:keepNext/>
        <w:spacing w:line="290" w:lineRule="exact"/>
        <w:wordWrap w:val="0"/>
      </w:pPr>
      <w:r>
        <w:rPr>
          <w:rFonts w:ascii="宋体" w:eastAsia="宋体" w:hAnsi="宋体" w:cs="宋体"/>
          <w:color w:val="555555"/>
          <w:sz w:val="19"/>
          <w:szCs w:val="19"/>
        </w:rPr>
        <w:t>越南｜9月7日报道，统计期为1至8月</w:t>
      </w:r>
    </w:p>
    <w:p w14:paraId="75463394" w14:textId="77777777" w:rsidR="00741353" w:rsidRDefault="00AF0D74">
      <w:pPr>
        <w:keepNext/>
        <w:spacing w:line="360" w:lineRule="exact"/>
        <w:ind w:firstLine="480"/>
        <w:wordWrap w:val="0"/>
        <w:keepLines w:val="1"/>
      </w:pPr>
      <w:r>
        <w:t>越南《人民报》报道，前8个月越南咖啡出口近170万吨、金额超过60亿美元；出口量同比增长约10%，金额同比下降11.2%。欧盟和美国仍为主要市场，中国市场也受到关注。</w:t>
      </w:r>
    </w:p>
    <w:p w14:paraId="75463394" w14:textId="77777777" w:rsidR="00741353" w:rsidRDefault="00AF0D74">
      <w:pPr>
        <w:keepNext/>
        <w:spacing w:line="360" w:lineRule="exact"/>
        <w:ind w:firstLine="480"/>
        <w:wordWrap w:val="0"/>
        <w:keepLines w:val="1"/>
      </w:pPr>
      <w:r>
        <w:t>报道援引行业协会称，超过30%的种植面积已取得认证，约35%至40%的供应可满足欧盟零毁林法规要求。上述合规比例和年末订单判断属于行业方陈述，不等同于逐批核验结果；饮料企业仍需按供应链地块、追溯数据和合同要求审查。</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越南人民报咖啡出口报道</w:t>
        </w:r>
      </w:hyperlink>
    </w:p>
    <w:p w14:paraId="7A6D2953" w14:textId="77777777" w:rsidR="00741353" w:rsidRDefault="00AF0D74">
      <w:pPr>
        <w:pStyle w:val="1"/>
        <w:spacing w:before="200" w:line="440" w:lineRule="exact"/>
        <w:wordWrap w:val="0"/>
        <w:pageBreakBefore w:val="0"/>
      </w:pPr>
      <w:r>
        <w:t>六、资源效率、绿色制造与技术交流</w:t>
      </w:r>
    </w:p>
    <w:p w14:paraId="48D7440C" w14:textId="77777777" w:rsidR="00741353" w:rsidRDefault="00AF0D74">
      <w:pPr>
        <w:pStyle w:val="21"/>
        <w:spacing w:before="140" w:line="380" w:lineRule="exact"/>
        <w:wordWrap w:val="0"/>
      </w:pPr>
      <w:r>
        <w:t>饮料余液与包装协同回收案例披露十亿容器规模</w:t>
      </w:r>
    </w:p>
    <w:p w14:paraId="055A539C" w14:textId="77777777" w:rsidR="00741353" w:rsidRDefault="00AF0D74">
      <w:pPr>
        <w:keepNext/>
        <w:spacing w:line="290" w:lineRule="exact"/>
        <w:wordWrap w:val="0"/>
      </w:pPr>
      <w:r>
        <w:rPr>
          <w:rFonts w:ascii="宋体" w:eastAsia="宋体" w:hAnsi="宋体" w:cs="宋体"/>
          <w:color w:val="555555"/>
          <w:sz w:val="19"/>
          <w:szCs w:val="19"/>
        </w:rPr>
        <w:t>美国｜9月10日企业披露，属于商业运营案例</w:t>
      </w:r>
    </w:p>
    <w:p w14:paraId="75463394" w14:textId="77777777" w:rsidR="00741353" w:rsidRDefault="00AF0D74">
      <w:pPr>
        <w:keepNext/>
        <w:spacing w:line="360" w:lineRule="exact"/>
        <w:ind w:firstLine="480"/>
        <w:wordWrap w:val="0"/>
        <w:keepLines w:val="1"/>
      </w:pPr>
      <w:r>
        <w:t>Skip Shapiro Enterprises披露，其饮料回收业务累计处理超过10亿个完整饮料容器，并称回收超过1.6亿加仑饮料余液和7200万磅铝材，包装回收率达到87%。该模式强调在销毁、过期或不合格饮料处理中同步分离液体与包装资源。</w:t>
      </w:r>
    </w:p>
    <w:p w14:paraId="75463394" w14:textId="77777777" w:rsidR="00741353" w:rsidRDefault="00AF0D74">
      <w:pPr>
        <w:keepNext/>
        <w:spacing w:line="360" w:lineRule="exact"/>
        <w:ind w:firstLine="480"/>
        <w:wordWrap w:val="0"/>
        <w:keepLines w:val="1"/>
      </w:pPr>
      <w:r>
        <w:t>上述数量和回收率来自企业新闻稿，本刊未取得独立审计或统一核算边界。其参考价值是将产品处置、液体回收、容器材料回收及可追溯记录纳入同一运营流程；不能直接用于中国项目环境绩效、合规处置或碳减排量核算。</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8">
        <w:r>
          <w:rPr>
            <w:rFonts w:ascii="宋体" w:eastAsia="宋体" w:hAnsi="宋体" w:cs="宋体"/>
            <w:color w:val="245D83"/>
            <w:sz w:val="19"/>
            <w:szCs w:val="19"/>
            <w:u w:val="single"/>
          </w:rPr>
          <w:t>Skip Shapiro Enterprises案例披露</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按周内原始公开节点选编，事件、抽样及统计期另作标明。窗口为北京时间9月4日16:30之后至9月11日16:30；仅供内部测试及信息参考。内容不构成产品合规批准、采购或召回决定，具体应用请核对原文、产品条件与适用要求。</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饮料行业资讯周报（内部测试版）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val="1"/>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scjgj.nantong.gov.cn/ntsgsj/gggs/content/b200c543-23a7-4ad7-8f9b-39ff3e919c7e.html" TargetMode="External"/><Relationship Id="rId1002" Type="http://schemas.openxmlformats.org/officeDocument/2006/relationships/hyperlink" Target="https://zjamr.zj.gov.cn/col/col1228969898/art/2026/art_aebd3d489c174f208471124c124f29ae.html" TargetMode="External"/><Relationship Id="rId1003" Type="http://schemas.openxmlformats.org/officeDocument/2006/relationships/hyperlink" Target="https://webgate.ec.europa.eu/rasff-window/screen/notification/871387" TargetMode="External"/><Relationship Id="rId1004" Type="http://schemas.openxmlformats.org/officeDocument/2006/relationships/hyperlink" Target="https://www.prnewswire.com/news-releases/2o3-launches-a-performance-hydration-beverage-with-electrolytes-and-honey-302874644.html" TargetMode="External"/><Relationship Id="rId1005" Type="http://schemas.openxmlformats.org/officeDocument/2006/relationships/hyperlink" Target="https://www.mdpi.com/2306-5710/12/9/108" TargetMode="External"/><Relationship Id="rId1006" Type="http://schemas.openxmlformats.org/officeDocument/2006/relationships/hyperlink" Target="https://www.chinabeverage.org/article/id/11833" TargetMode="External"/><Relationship Id="rId1007" Type="http://schemas.openxmlformats.org/officeDocument/2006/relationships/hyperlink" Target="https://cn.nhandan.vn/article-post159480.html" TargetMode="External"/><Relationship Id="rId1008" Type="http://schemas.openxmlformats.org/officeDocument/2006/relationships/hyperlink" Target="https://www.bevnet.com/pr/2026/09/10/skip-shapiro-enterprises-surpasses-one-billion-beverage-containers-recyc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饮料行业资讯周报（内部测试版）</dc:title>
  <dc:subject>2026年9月4日16:30至9月11日16:30（北京时间）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