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ECEE1" w14:textId="77777777" w:rsidR="00741353" w:rsidRDefault="00AF0D74">
      <w:pPr>
        <w:pStyle w:val="aa"/>
        <w:spacing w:after="140" w:line="640" w:lineRule="exact"/>
        <w:wordWrap w:val="0"/>
      </w:pPr>
      <w:r>
        <w:t>饮料行业资讯周报（内部测试版）</w:t>
      </w:r>
    </w:p>
    <w:p w14:paraId="1DF36016" w14:textId="77777777" w:rsidR="00741353" w:rsidRDefault="00AF0D74">
      <w:pPr>
        <w:pStyle w:val="ac"/>
        <w:spacing w:after="160" w:line="320" w:lineRule="exact"/>
        <w:wordWrap w:val="0"/>
      </w:pPr>
      <w:r>
        <w:t xml:space="preserve">2026年9月18日16:30至9月25日16:30（北京时间）</w:t>
      </w:r>
    </w:p>
    <w:p w14:paraId="1CB9F75F" w14:textId="77777777" w:rsidR="00741353" w:rsidRDefault="00AF0D74">
      <w:pPr>
        <w:pStyle w:val="1"/>
        <w:spacing w:before="200" w:line="440" w:lineRule="exact"/>
      </w:pPr>
      <w:r>
        <w:t>本期要点速览</w:t>
      </w:r>
    </w:p>
    <w:tbl>
      <w:tblPr>
        <w:tblW w:w="9639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125" w:type="dxa"/>
          <w:left w:w="125" w:type="dxa"/>
          <w:bottom w:w="125" w:type="dxa"/>
          <w:right w:w="125" w:type="dxa"/>
        </w:tblCellMar>
        <w:tblLook w:val="04A0" w:firstRow="1" w:lastRow="0" w:firstColumn="1" w:lastColumn="0" w:noHBand="0" w:noVBand="1"/>
      </w:tblPr>
      <w:tblGrid>
        <w:gridCol w:w="2778"/>
        <w:gridCol w:w="6861"/>
      </w:tblGrid>
      <w:tr w:rsidR="00741353" w14:paraId="086449A1" w14:textId="77777777">
        <w:trPr>
          <w:cantSplit/>
          <w:tblHeader/>
        </w:trPr>
        <w:tc>
          <w:tcPr>
            <w:tcW w:w="2778" w:type="dxa"/>
            <w:shd w:val="clear" w:color="auto" w:fill="E8EEF3"/>
            <w:vAlign w:val="center"/>
          </w:tcPr>
          <w:p w14:paraId="2553C703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栏目</w:t>
            </w:r>
          </w:p>
        </w:tc>
        <w:tc>
          <w:tcPr>
            <w:tcW w:w="6860" w:type="dxa"/>
            <w:shd w:val="clear" w:color="auto" w:fill="E8EEF3"/>
            <w:vAlign w:val="center"/>
          </w:tcPr>
          <w:p w14:paraId="1A068D37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本期要点</w:t>
            </w:r>
          </w:p>
        </w:tc>
      </w:tr>
      <w:tr w:rsidR="00741353" w14:paraId="0DAE04B9" w14:textId="77777777">
        <w:trPr>
          <w:cantSplit/>
        </w:trPr>
        <w:tc>
          <w:tcPr>
            <w:tcW w:w="2778" w:type="dxa"/>
            <w:vAlign w:val="center"/>
          </w:tcPr>
          <w:p w14:paraId="0A696661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一、法规标准与标签宣称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关注甜味剂、香料及展青霉素等检测标准的版本更新。</w:t>
            </w:r>
          </w:p>
        </w:tc>
      </w:tr>
      <w:tr w:rsidR="00741353" w14:paraId="3D7E9BE7" w14:textId="77777777">
        <w:trPr>
          <w:cantSplit/>
        </w:trPr>
        <w:tc>
          <w:tcPr>
            <w:tcW w:w="2778" w:type="dxa"/>
            <w:vAlign w:val="center"/>
          </w:tcPr>
          <w:p w14:paraId="67F7E866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二、质量安全与检测预警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等渗饮料霉菌事件列有撤回及召回，后续节点不等于新增批次。</w:t>
            </w:r>
          </w:p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茶叶单证缺口与污染物检出应分别判断，发运地不等于原产地。</w:t>
            </w:r>
          </w:p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三条通知按批号区分，保留结果不确定度和通知列示比较值。</w:t>
            </w:r>
          </w:p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352±123 μg/kg的批次结果对应边境扣留与退回，未投放市场。</w:t>
            </w:r>
          </w:p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一条通知含四个产品对象，按产品核对农残与处置，避免重复累计。</w:t>
            </w:r>
          </w:p>
        </w:tc>
      </w:tr>
      <w:tr w:rsidR="00741353" w14:paraId="716A2FD7" w14:textId="77777777">
        <w:trPr>
          <w:cantSplit/>
        </w:trPr>
        <w:tc>
          <w:tcPr>
            <w:tcW w:w="2778" w:type="dxa"/>
            <w:vAlign w:val="center"/>
          </w:tcPr>
          <w:p w14:paraId="3D2FCD93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三、原料配方与产品研发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 xml:space="preserve">本期暂无可刊发条目。</w:t>
            </w:r>
          </w:p>
        </w:tc>
      </w:tr>
      <w:tr w:rsidR="00741353" w14:paraId="30568B6B" w14:textId="77777777">
        <w:trPr>
          <w:cantSplit/>
        </w:trPr>
        <w:tc>
          <w:tcPr>
            <w:tcW w:w="2778" w:type="dxa"/>
            <w:vAlign w:val="center"/>
          </w:tcPr>
          <w:p w14:paraId="11BA2FBD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四、加工工艺、装备与包装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 xml:space="preserve">本期暂无可刊发条目。</w:t>
            </w:r>
          </w:p>
        </w:tc>
      </w:tr>
      <w:tr w:rsidR="00741353" w14:paraId="348AD92E" w14:textId="77777777">
        <w:trPr>
          <w:cantSplit/>
        </w:trPr>
        <w:tc>
          <w:tcPr>
            <w:tcW w:w="2778" w:type="dxa"/>
            <w:vAlign w:val="center"/>
          </w:tcPr>
          <w:p w14:paraId="032F4B9D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五、市场消费、企业与供应链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 xml:space="preserve">本期暂无可刊发条目。</w:t>
            </w:r>
          </w:p>
        </w:tc>
      </w:tr>
      <w:tr w:rsidR="00741353" w14:paraId="4E96E3BA" w14:textId="77777777">
        <w:trPr>
          <w:cantSplit/>
        </w:trPr>
        <w:tc>
          <w:tcPr>
            <w:tcW w:w="2778" w:type="dxa"/>
            <w:vAlign w:val="center"/>
          </w:tcPr>
          <w:p w14:paraId="4DBA7D85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六、资源效率、绿色制造与技术交流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 xml:space="preserve">本期暂无可刊发条目。</w:t>
            </w:r>
          </w:p>
        </w:tc>
      </w:tr>
    </w:tbl>
    <w:p w14:paraId="0DAB29BE" w14:textId="77777777" w:rsidR="00741353" w:rsidRDefault="00AF0D74">
      <w:pPr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本期覆盖2026年9月18日16:30至9月25日16:30，聚焦标准发布与饮料、茶叶供应链质量信号；实际编制日期为2026年10月4日。历史补编保留原周窗，后续更新不混入本期事实。</w:t>
      </w:r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1"/>
      </w:pPr>
      <w:r>
        <w:t xml:space="preserve">一、法规标准与标签宣称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50项食品安全国家标准和修改单发布，涉及甜味剂与饮料检测项目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中国｜2026-09-22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国家卫生健康委网站9月22日公布2026年第6号公告，发布《食品安全国家标准 牛乳蛋白》（GB 31668—2026）等50项食品安全国家标准和修改单；公告落款为8月18日，本文按网站公开日期纳入本期。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公告名单包括赤藓糖醇（GB 1886.390—2026）、食品用香料通则（GB 29938—2026），以及食品中展青霉素（GB 5009.185—2026）、γ-氨基丁酸（GB 31614.2—2026）等测定标准。对饮料企业而言，原辅料规格、检测方法清单和标准版本管理可据此安排核对。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本条仅报告公告及标准名称、编号，不据公告推定实施日期、使用范围、限量或方法变化；具体执行应结合相应标准正式文本。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1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国家卫生健康委公告原文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 xml:space="preserve">二、质量安全与检测预警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等渗饮料霉菌通报出现本期后续节点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欧盟｜2026-09-23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RASFF通知2026.8320涉及HYDRATE ISOTONIC BLUEBERRY FLAVOUR 50cl等渗饮料中的霉菌问题。原通知由法国于9月18日提交；9月23日又出现两条法国后续节点，故本期按后续进展跟踪。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历史记录列有法国市场撤回和消费者召回措施，产品原产地标记为意大利。记录中的分销状态文字与比利时分销标记需结合理解，不能据单一字段断言产品仅在法国销售。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公开后续节点没有可核的交流摘要，本文不将其解释为新增批次或扩大召回。饮料质量团队可将该事件作为成品微生物稳定性、包装完整性与消费者投诉联动核查的风险线索。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2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RASFF通知 874121</w:t>
        </w:r>
      </w:hyperlink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绿茶随附文件问题获欧委会后续请求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欧盟｜2026-09-24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RASFF通知2026.8283记录一批由塞尔维亚发运的绿茶缺少随附文件。原通知日期为9月18日，欧委会于9月24日登记一条请求类型后续节点；本期采用该后续节点作为时间依据。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中国在原记录中标记为原产地，塞尔维亚为经营者关联地，不能将发运地改写为原产地。克罗地亚记录的措施为重新发运，风险决定为not serious；记录未列明污染物检出。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该通报提示出口茶叶随附文件、原产地信息及经营者追溯的一致性要求，不能作为茶叶发生化学或微生物污染的证据。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3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RASFF通知 873882</w:t>
        </w:r>
      </w:hyperlink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三条茶叶cetrimonium chloride通报涉及不同批次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欧盟｜2026-09-23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马耳他9月23日的三条边境拒绝通报2026.8412、2026.8414和2026.8417涉及原产中国、由英国发运的茶叶。三条通知围绕同一类物质，本文合并为一组风险线索，同时保留不同通知和批次。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历史原件分别记录：L6104、50 g、保质期04/2028，结果0.086±0.043 mg/kg；L6041、40 g、保质期02/2028，结果0.35±0.18 mg/kg；L6072、40 g、保质期03/2028，结果0.066±0.033 mg/kg。三份通知均列示0.01 mg/kg作为相应比较值，不能由此推广为所有茶叶的统一法规限值。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原记录列明货物拟重新发运或销毁、未从通报国分销。本文保留测量不确定度，按原周窗保存件呈现，不推断污染来源，也不将三条记录夸大为三个互不相关的事故。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4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RASFF通知 873639</w:t>
        </w:r>
      </w:hyperlink>
      <w:r>
        <w:rPr>
          <w:rFonts w:ascii="宋体" w:eastAsia="宋体" w:hAnsi="宋体" w:cs="宋体"/>
          <w:color w:val="555555"/>
          <w:sz w:val="19"/>
          <w:szCs w:val="19"/>
        </w:rPr>
        <w:t xml:space="preserve">  /  </w:t>
      </w:r>
      <w:hyperlink r:id="rIdNewsletterSource5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RASFF通知 873872</w:t>
        </w:r>
      </w:hyperlink>
      <w:r>
        <w:rPr>
          <w:rFonts w:ascii="宋体" w:eastAsia="宋体" w:hAnsi="宋体" w:cs="宋体"/>
          <w:color w:val="555555"/>
          <w:sz w:val="19"/>
          <w:szCs w:val="19"/>
        </w:rPr>
        <w:t xml:space="preserve">  /  </w:t>
      </w:r>
      <w:hyperlink r:id="rIdNewsletterSource6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RASFF通知 873257</w:t>
        </w:r>
      </w:hyperlink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斯里兰卡红茶吡咯里西啶生物碱通报在边境处置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欧盟｜2026-09-23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波兰9月23日提交RASFF通知2026.8433，涉及斯里兰卡原产红茶中的吡咯里西啶生物碱。历史原件的检测结果为352±123 μg/kg，通知列示比较限值为150 μg/kg，风险决定为serious。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记录中的措施包括官方扣留和退回发货人，分销状态为尚未投放市场。对茶叶采购与检测而言，宜结合具体批次、取样代表性、检测项目组合和测量不确定度开展核查；该通报不等于全部斯里兰卡红茶存在同一风险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7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RASFF通知 874860</w:t>
        </w:r>
      </w:hyperlink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阿塞拜疆茶叶农残通报涉及四个产品对象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欧盟｜2026-09-24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波兰9月24日提交RASFF通知2026.8469，涉及阿塞拜疆原产红茶和绿茶的农药残留。原记录由一个主产品与三个关联产品构成，包括绿茶和散叶伯爵茶等四个产品对象。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通知对各产品列有拒绝入境和销毁措施，产品状态均为尚未投放市场。各产品的风险物和检测结果并不相同，不能把主产品的一组结果套用到全部产品。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供应链追溯应以通知编号、具体产品和批次为单位，避免将一条含多个产品对象的通报重复累计为四起独立事件。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8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RASFF通知 874075</w:t>
        </w:r>
      </w:hyperlink>
    </w:p>
    <w:p w14:paraId="7234CB7C" w14:textId="77777777" w:rsidR="00741353" w:rsidRDefault="00AF0D74">
      <w:pPr>
        <w:pStyle w:val="21"/>
        <w:spacing w:before="140" w:line="380" w:lineRule="exact"/>
      </w:pPr>
      <w:r>
        <w:t>使用说明</w:t>
      </w:r>
    </w:p>
    <w:p w14:paraId="6E6F4F60" w14:textId="77777777" w:rsidR="00741353" w:rsidRDefault="00AF0D74">
      <w:pPr>
        <w:spacing w:line="290" w:lineRule="exact"/>
        <w:wordWrap w:val="0"/>
      </w:pPr>
      <w:r>
        <w:rPr>
          <w:sz w:val="21"/>
          <w:szCs w:val="21"/>
        </w:rPr>
        <w:t xml:space="preserve">本刊供饮料行业技术与质量人员参考。监管通报对应具体产品与批次，不代表同类产品或产地的普遍风险；企业处置须结合现行法规及原始文件。部分普通来源尚未形成完整覆盖，原文、公开日期或相关性未核实的候选未纳入；未采用栏目不据此推断当周没有相关动态。</w:t>
      </w:r>
    </w:p>
    <w:sectPr w:rsidR="00741353" w:rsidSect="00034616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020" w:right="1134" w:bottom="964" w:left="1134" w:header="425" w:footer="4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45706" w14:textId="77777777" w:rsidR="00AF0D74" w:rsidRDefault="00AF0D74">
      <w:pPr>
        <w:spacing w:after="0" w:line="240" w:lineRule="auto"/>
      </w:pPr>
      <w:r>
        <w:separator/>
      </w:r>
    </w:p>
  </w:endnote>
  <w:endnote w:type="continuationSeparator" w:id="0">
    <w:p w14:paraId="0BB8E7FE" w14:textId="77777777" w:rsidR="00AF0D74" w:rsidRDefault="00AF0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>
  <w:font w:name="宋体">
    <w:charset w:val="86"/>
  </w:font>
  <w:font w:name="黑体">
    <w:charset w:val="86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BA4F8" w14:textId="77777777" w:rsidR="006F4FFB" w:rsidRDefault="006F4FF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9F7E9" w14:textId="77777777" w:rsidR="00071710" w:rsidRDefault="008A38A6">
    <w:pPr>
      <w:spacing w:line="240" w:lineRule="exact"/>
      <w:jc w:val="right"/>
    </w:pPr>
    <w:r>
      <w:rPr>
        <w:rFonts w:ascii="宋体" w:eastAsia="宋体" w:hAnsi="宋体" w:cs="宋体"/>
        <w:color w:val="555555"/>
        <w:sz w:val="17"/>
        <w:szCs w:val="17"/>
      </w:rPr>
      <w:t xml:space="preserve">饮料行业资讯周报（内部测试版）  第 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begin"/>
    </w:r>
    <w:r w:rsidR="00071710">
      <w:rPr>
        <w:rFonts w:ascii="宋体" w:eastAsia="宋体" w:hAnsi="宋体" w:cs="宋体"/>
        <w:color w:val="555555"/>
        <w:sz w:val="17"/>
        <w:szCs w:val="17"/>
      </w:rPr>
      <w:instrText>PAGE</w:instrTex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separate"/>
    </w:r>
    <w:r w:rsidR="00144C9B">
      <w:rPr>
        <w:rFonts w:ascii="宋体" w:eastAsia="宋体" w:hAnsi="宋体" w:cs="宋体"/>
        <w:noProof/>
        <w:color w:val="555555"/>
        <w:sz w:val="17"/>
        <w:szCs w:val="17"/>
      </w:rPr>
      <w:t>1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end"/>
    </w:r>
    <w:r>
      <w:rPr>
        <w:rFonts w:ascii="宋体" w:eastAsia="宋体" w:hAnsi="宋体" w:cs="宋体"/>
        <w:color w:val="555555"/>
        <w:sz w:val="17"/>
        <w:szCs w:val="17"/>
      </w:rPr>
      <w:t xml:space="preserve"> 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45EE6" w14:textId="77777777" w:rsidR="006F4FFB" w:rsidRDefault="006F4FF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12EAF" w14:textId="77777777" w:rsidR="00AF0D74" w:rsidRDefault="00AF0D74">
      <w:pPr>
        <w:spacing w:after="0" w:line="240" w:lineRule="auto"/>
      </w:pPr>
      <w:r>
        <w:separator/>
      </w:r>
    </w:p>
  </w:footnote>
  <w:footnote w:type="continuationSeparator" w:id="0">
    <w:p w14:paraId="01EFFB83" w14:textId="77777777" w:rsidR="00AF0D74" w:rsidRDefault="00AF0D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3C5E0" w14:textId="77777777" w:rsidR="006F4FFB" w:rsidRDefault="006F4FF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AEF97" w14:textId="77777777" w:rsidR="00071710" w:rsidRDefault="00071710">
    <w:pPr>
      <w:pStyle w:val="a5"/>
      <w:spacing w:line="240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D9213" w14:textId="77777777" w:rsidR="006F4FFB" w:rsidRDefault="006F4FF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宋体" w:eastAsia="宋体" w:hAnsi="宋体" w:cs="宋体" w:hint="eastAsia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宋体" w:eastAsia="宋体" w:hAnsi="宋体" w:cs="宋体" w:hint="eastAsia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宋体" w:eastAsia="宋体" w:hAnsi="宋体" w:cs="宋体" w:hint="eastAsia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宋体" w:eastAsia="宋体" w:hAnsi="宋体" w:cs="宋体" w:hint="eastAsia"/>
      </w:rPr>
    </w:lvl>
  </w:abstractNum>
  <w:num w:numId="1" w16cid:durableId="1450274729">
    <w:abstractNumId w:val="8"/>
  </w:num>
  <w:num w:numId="2" w16cid:durableId="33821294">
    <w:abstractNumId w:val="6"/>
  </w:num>
  <w:num w:numId="3" w16cid:durableId="657615895">
    <w:abstractNumId w:val="5"/>
  </w:num>
  <w:num w:numId="4" w16cid:durableId="100497808">
    <w:abstractNumId w:val="4"/>
  </w:num>
  <w:num w:numId="5" w16cid:durableId="540869003">
    <w:abstractNumId w:val="7"/>
  </w:num>
  <w:num w:numId="6" w16cid:durableId="9527193">
    <w:abstractNumId w:val="3"/>
  </w:num>
  <w:num w:numId="7" w16cid:durableId="1123765509">
    <w:abstractNumId w:val="2"/>
  </w:num>
  <w:num w:numId="8" w16cid:durableId="1083721945">
    <w:abstractNumId w:val="1"/>
  </w:num>
  <w:num w:numId="9" w16cid:durableId="1418792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hideSpellingErrors w:val="true"/>
  <w:zoom w:percent="100"/>
  <w:bordersDoNotSurroundHeader/>
  <w:bordersDoNotSurroundFooter/>
  <w:hideGrammaticalErrors w:val="true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155C"/>
    <w:rsid w:val="00034616"/>
    <w:rsid w:val="0006063C"/>
    <w:rsid w:val="00071710"/>
    <w:rsid w:val="00144C9B"/>
    <w:rsid w:val="0015074B"/>
    <w:rsid w:val="00192115"/>
    <w:rsid w:val="0029639D"/>
    <w:rsid w:val="00326F90"/>
    <w:rsid w:val="005E45C4"/>
    <w:rsid w:val="006F4FFB"/>
    <w:rsid w:val="00741353"/>
    <w:rsid w:val="00870DE8"/>
    <w:rsid w:val="008A38A6"/>
    <w:rsid w:val="00962205"/>
    <w:rsid w:val="00AA1D8D"/>
    <w:rsid w:val="00AE4301"/>
    <w:rsid w:val="00AF0D74"/>
    <w:rsid w:val="00B47730"/>
    <w:rsid w:val="00C42746"/>
    <w:rsid w:val="00C6280B"/>
    <w:rsid w:val="00CB0664"/>
    <w:rsid w:val="00F2417D"/>
    <w:rsid w:val="00F7750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DC731B"/>
  <w14:defaultImageDpi w14:val="330"/>
  <w15:docId w15:val="{E17F98DE-E812-4396-81C7-FF1712B34E39}"/>
  <w:saveSubsetFonts w:val="false"/>
  <w:embedTrueTypeFonts w:val="false"/>
  <w:embedSystemFonts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宋体" w:eastAsia="宋体" w:hAnsi="宋体" w:cs="宋体" w:hint="eastAsia"/>
        <w:color w:val="000000"/>
        <w:sz w:val="24"/>
        <w:szCs w:val="24"/>
        <w:lang w:val="zh-CN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napToGrid w:val="0"/>
      <w:spacing w:after="80" w:line="308" w:lineRule="exact"/>
    </w:p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20" w:line="420" w:lineRule="exact"/>
      <w:outlineLvl w:val="0"/>
    </w:pPr>
    <w:rPr>
      <w:rFonts w:ascii="黑体" w:eastAsia="黑体" w:hAnsi="黑体" w:cs="黑体"/>
      <w:b/>
      <w:bCs/>
      <w:sz w:val="30"/>
      <w:szCs w:val="30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20" w:line="336" w:lineRule="exact"/>
      <w:outlineLvl w:val="1"/>
    </w:pPr>
    <w:rPr>
      <w:rFonts w:ascii="黑体" w:eastAsia="黑体" w:hAnsi="黑体" w:cs="黑体"/>
      <w:b/>
      <w:bCs/>
      <w:sz w:val="25"/>
      <w:szCs w:val="25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黑体" w:eastAsia="黑体" w:hAnsi="黑体" w:cs="黑体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黑体" w:eastAsia="黑体" w:hAnsi="黑体" w:cs="黑体"/>
      <w:b/>
      <w:bCs/>
      <w:i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宋体" w:eastAsia="宋体" w:hAnsi="宋体" w:cs="宋体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宋体" w:eastAsia="宋体" w:hAnsi="宋体" w:cs="宋体"/>
      <w:iCs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宋体" w:eastAsia="宋体" w:hAnsi="宋体" w:cs="宋体"/>
      <w:iCs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宋体" w:eastAsia="宋体" w:hAnsi="宋体" w:cs="宋体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宋体" w:eastAsia="宋体" w:hAnsi="宋体" w:cs="宋体"/>
      <w:iCs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8"/>
      <w:szCs w:val="28"/>
      <w:lang w:val="zh-CN" w:eastAsia="zh-CN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6"/>
      <w:szCs w:val="26"/>
      <w:lang w:val="zh-CN" w:eastAsia="zh-CN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line="700" w:lineRule="exact"/>
      <w:contextualSpacing/>
    </w:pPr>
    <w:rPr>
      <w:rFonts w:ascii="黑体" w:eastAsia="黑体" w:hAnsi="黑体" w:cs="黑体"/>
      <w:b/>
      <w:bCs/>
      <w:sz w:val="46"/>
      <w:szCs w:val="46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="宋体" w:eastAsia="宋体" w:hAnsi="宋体" w:cs="宋体" w:hint="eastAsia"/>
      <w:i w:val="0"/>
      <w:color w:val="000000"/>
      <w:sz w:val="52"/>
      <w:szCs w:val="52"/>
      <w:lang w:val="zh-CN" w:eastAsia="zh-CN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="宋体" w:eastAsia="宋体" w:hAnsi="宋体" w:cs="宋体"/>
      <w:iCs/>
      <w:sz w:val="22"/>
      <w:szCs w:val="22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="宋体" w:eastAsia="宋体" w:hAnsi="宋体" w:cs="宋体" w:hint="eastAsia"/>
      <w:i w:val="0"/>
      <w:iCs/>
      <w:color w:val="000000"/>
      <w:sz w:val="24"/>
      <w:szCs w:val="24"/>
      <w:lang w:val="zh-CN" w:eastAsia="zh-CN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正文文本 字符"/>
    <w:basedOn w:val="a2"/>
    <w:link w:val="af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rFonts w:ascii="宋体" w:eastAsia="宋体" w:hAnsi="宋体" w:cs="宋体" w:hint="eastAsia"/>
      <w:i w:val="0"/>
      <w:color w:val="000000"/>
      <w:sz w:val="16"/>
      <w:szCs w:val="16"/>
      <w:lang w:val="zh-CN" w:eastAsia="zh-CN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Cs/>
    </w:rPr>
  </w:style>
  <w:style w:type="character" w:customStyle="1" w:styleId="af6">
    <w:name w:val="引用 字符"/>
    <w:basedOn w:val="a2"/>
    <w:link w:val="af5"/>
    <w:uiPriority w:val="29"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="宋体" w:eastAsia="宋体" w:hAnsi="宋体" w:cs="宋体" w:hint="eastAsia"/>
      <w:i w:val="0"/>
      <w:color w:val="000000"/>
      <w:lang w:val="zh-CN" w:eastAsia="zh-CN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sz w:val="20"/>
      <w:szCs w:val="20"/>
      <w:lang w:val="zh-CN" w:eastAsia="zh-CN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character" w:styleId="af9">
    <w:name w:val="Emphasis"/>
    <w:basedOn w:val="a2"/>
    <w:uiPriority w:val="20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spacing w:before="200" w:after="280"/>
      <w:ind w:left="936" w:right="936"/>
    </w:pPr>
    <w:rPr>
      <w:b/>
      <w:bCs/>
      <w:iCs/>
    </w:rPr>
  </w:style>
  <w:style w:type="character" w:customStyle="1" w:styleId="afb">
    <w:name w:val="明显引用 字符"/>
    <w:basedOn w:val="a2"/>
    <w:link w:val="afa"/>
    <w:uiPriority w:val="30"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c">
    <w:name w:val="Subtle Emphasis"/>
    <w:basedOn w:val="a2"/>
    <w:uiPriority w:val="19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styleId="afd">
    <w:name w:val="Intense Emphasis"/>
    <w:basedOn w:val="a2"/>
    <w:uiPriority w:val="21"/>
    <w:qFormat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e">
    <w:name w:val="Subtle Reference"/>
    <w:basedOn w:val="a2"/>
    <w:uiPriority w:val="31"/>
    <w:qFormat/>
    <w:rsid w:val="00FC693F"/>
    <w:rPr>
      <w:rFonts w:ascii="宋体" w:eastAsia="宋体" w:hAnsi="宋体" w:cs="宋体" w:hint="eastAsia"/>
      <w:i w:val="0"/>
      <w:smallCaps/>
      <w:color w:val="000000"/>
      <w:u w:val="single"/>
      <w:lang w:val="zh-CN" w:eastAsia="zh-CN"/>
    </w:rPr>
  </w:style>
  <w:style w:type="character" w:styleId="aff">
    <w:name w:val="Intense Reference"/>
    <w:basedOn w:val="a2"/>
    <w:uiPriority w:val="32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u w:val="single"/>
      <w:lang w:val="zh-CN" w:eastAsia="zh-CN"/>
    </w:rPr>
  </w:style>
  <w:style w:type="character" w:styleId="aff0">
    <w:name w:val="Book Title"/>
    <w:basedOn w:val="a2"/>
    <w:uiPriority w:val="33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lang w:val="zh-CN" w:eastAsia="zh-CN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  <w:rPr>
      <w:rFonts w:ascii="宋体" w:eastAsia="宋体" w:hAnsi="宋体" w:cs="宋体"/>
    </w:r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26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28" Type="http://schemas.openxmlformats.org/officeDocument/2006/relationships/footer" Target="footer2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27" Type="http://schemas.openxmlformats.org/officeDocument/2006/relationships/footer" Target="footer1.xml"/><Relationship Id="rId30" Type="http://schemas.openxmlformats.org/officeDocument/2006/relationships/footer" Target="footer3.xml"/><Relationship Id="rIdNewsletterSource1" Type="http://schemas.openxmlformats.org/officeDocument/2006/relationships/hyperlink" Target="https://www.nhc.gov.cn/sps/c100088/202609/4f357dbdd51748fea20ce817d0466c40.shtml" TargetMode="External"/><Relationship Id="rIdNewsletterSource2" Type="http://schemas.openxmlformats.org/officeDocument/2006/relationships/hyperlink" Target="https://webgate.ec.europa.eu/rasff-window/screen/notification/874121" TargetMode="External"/><Relationship Id="rIdNewsletterSource3" Type="http://schemas.openxmlformats.org/officeDocument/2006/relationships/hyperlink" Target="https://webgate.ec.europa.eu/rasff-window/screen/notification/873882" TargetMode="External"/><Relationship Id="rIdNewsletterSource4" Type="http://schemas.openxmlformats.org/officeDocument/2006/relationships/hyperlink" Target="https://webgate.ec.europa.eu/rasff-window/screen/notification/873639" TargetMode="External"/><Relationship Id="rIdNewsletterSource5" Type="http://schemas.openxmlformats.org/officeDocument/2006/relationships/hyperlink" Target="https://webgate.ec.europa.eu/rasff-window/screen/notification/873872" TargetMode="External"/><Relationship Id="rIdNewsletterSource6" Type="http://schemas.openxmlformats.org/officeDocument/2006/relationships/hyperlink" Target="https://webgate.ec.europa.eu/rasff-window/screen/notification/873257" TargetMode="External"/><Relationship Id="rIdNewsletterSource7" Type="http://schemas.openxmlformats.org/officeDocument/2006/relationships/hyperlink" Target="https://webgate.ec.europa.eu/rasff-window/screen/notification/874860" TargetMode="External"/><Relationship Id="rIdNewsletterSource8" Type="http://schemas.openxmlformats.org/officeDocument/2006/relationships/hyperlink" Target="https://webgate.ec.europa.eu/rasff-window/screen/notification/87407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黑体"/>
        <a:ea typeface="黑体"/>
        <a:cs typeface="黑体"/>
        <a:font script="Jpan" typeface="黑体"/>
        <a:font script="Hang" typeface="黑体"/>
        <a:font script="Hans" typeface="黑体"/>
        <a:font script="Hant" typeface="黑体"/>
        <a:font script="Arab" typeface="黑体"/>
        <a:font script="Hebr" typeface="黑体"/>
        <a:font script="Thai" typeface="黑体"/>
        <a:font script="Ethi" typeface="黑体"/>
        <a:font script="Beng" typeface="黑体"/>
        <a:font script="Gujr" typeface="黑体"/>
        <a:font script="Khmr" typeface="黑体"/>
        <a:font script="Knda" typeface="黑体"/>
        <a:font script="Guru" typeface="黑体"/>
        <a:font script="Cans" typeface="黑体"/>
        <a:font script="Cher" typeface="黑体"/>
        <a:font script="Yiii" typeface="黑体"/>
        <a:font script="Tibt" typeface="黑体"/>
        <a:font script="Thaa" typeface="黑体"/>
        <a:font script="Deva" typeface="黑体"/>
        <a:font script="Telu" typeface="黑体"/>
        <a:font script="Taml" typeface="黑体"/>
        <a:font script="Syrc" typeface="黑体"/>
        <a:font script="Orya" typeface="黑体"/>
        <a:font script="Mlym" typeface="黑体"/>
        <a:font script="Laoo" typeface="黑体"/>
        <a:font script="Sinh" typeface="黑体"/>
        <a:font script="Mong" typeface="黑体"/>
        <a:font script="Viet" typeface="黑体"/>
        <a:font script="Uigh" typeface="黑体"/>
        <a:font script="Geor" typeface="黑体"/>
      </a:majorFont>
      <a:minorFont>
        <a:latin typeface="宋体"/>
        <a:ea typeface="宋体"/>
        <a:cs typeface="宋体"/>
        <a:font script="Jpan" typeface="宋体"/>
        <a:font script="Hang" typeface="宋体"/>
        <a:font script="Hans" typeface="宋体"/>
        <a:font script="Hant" typeface="宋体"/>
        <a:font script="Arab" typeface="宋体"/>
        <a:font script="Hebr" typeface="宋体"/>
        <a:font script="Thai" typeface="宋体"/>
        <a:font script="Ethi" typeface="宋体"/>
        <a:font script="Beng" typeface="宋体"/>
        <a:font script="Gujr" typeface="宋体"/>
        <a:font script="Khmr" typeface="宋体"/>
        <a:font script="Knda" typeface="宋体"/>
        <a:font script="Guru" typeface="宋体"/>
        <a:font script="Cans" typeface="宋体"/>
        <a:font script="Cher" typeface="宋体"/>
        <a:font script="Yiii" typeface="宋体"/>
        <a:font script="Tibt" typeface="宋体"/>
        <a:font script="Thaa" typeface="宋体"/>
        <a:font script="Deva" typeface="宋体"/>
        <a:font script="Telu" typeface="宋体"/>
        <a:font script="Taml" typeface="宋体"/>
        <a:font script="Syrc" typeface="宋体"/>
        <a:font script="Orya" typeface="宋体"/>
        <a:font script="Mlym" typeface="宋体"/>
        <a:font script="Laoo" typeface="宋体"/>
        <a:font script="Sinh" typeface="宋体"/>
        <a:font script="Mong" typeface="宋体"/>
        <a:font script="Viet" typeface="宋体"/>
        <a:font script="Uigh" typeface="宋体"/>
        <a:font script="Geor" typeface="宋体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饮料行业资讯周报（内部测试版）</dc:title>
  <dc:subject>2026年9月18日16:30至9月25日16:30（北京时间）</dc:subject>
  <dc:creator/>
  <cp:keywords/>
  <dc:description/>
  <cp:lastModifiedBy/>
  <cp:revision>1</cp:revision>
  <dcterms:created xsi:type="dcterms:W3CDTF">2026-10-04T07:54:53Z</dcterms:created>
  <dcterms:modified xsi:type="dcterms:W3CDTF">2026-10-04T07:54:53Z</dcterms:modified>
  <cp:category/>
</cp:coreProperties>
</file>