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rsidR="00741353" w:rsidRDefault="00AF0D74">
      <w:pPr>
        <w:pStyle w:val="aa"/>
        <w:spacing w:after="140" w:line="640" w:lineRule="exact"/>
        <w:wordWrap w:val="0"/>
      </w:pPr>
      <w:r>
        <w:t>饮料行业资讯周报（内部测试版）</w:t>
      </w:r>
    </w:p>
    <w:p w14:paraId="1DF36016" w14:textId="77777777" w:rsidR="00741353" w:rsidRDefault="00AF0D74">
      <w:pPr>
        <w:pStyle w:val="ac"/>
        <w:spacing w:after="160" w:line="320" w:lineRule="exact"/>
        <w:wordWrap w:val="0"/>
      </w:pPr>
      <w:r>
        <w:t xml:space="preserve">2026年10月2日16:30至10月9日16:30（北京时间）</w:t>
      </w:r>
    </w:p>
    <w:p w14:paraId="1CB9F75F" w14:textId="77777777" w:rsidR="00741353" w:rsidRDefault="00AF0D74">
      <w:pPr>
        <w:pStyle w:val="1"/>
        <w:spacing w:before="200" w:line="440" w:lineRule="exact"/>
      </w:pPr>
      <w:r>
        <w:t>本期要点速览</w:t>
      </w:r>
    </w:p>
    <w:tbl>
      <w:tblPr>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25" w:type="dxa"/>
          <w:left w:w="125" w:type="dxa"/>
          <w:bottom w:w="125" w:type="dxa"/>
          <w:right w:w="125" w:type="dxa"/>
        </w:tblCellMar>
        <w:tblLook w:val="04A0" w:firstRow="1" w:lastRow="0" w:firstColumn="1" w:lastColumn="0" w:noHBand="0" w:noVBand="1"/>
      </w:tblPr>
      <w:tblGrid>
        <w:gridCol w:w="2778"/>
        <w:gridCol w:w="6861"/>
      </w:tblGrid>
      <w:tr w:rsidR="00741353" w14:paraId="086449A1" w14:textId="77777777">
        <w:trPr>
          <w:cantSplit/>
          <w:tblHeader/>
        </w:trPr>
        <w:tc>
          <w:tcPr>
            <w:tcW w:w="2778" w:type="dxa"/>
            <w:shd w:val="clear" w:color="auto" w:fill="E8EEF3"/>
            <w:vAlign w:val="center"/>
          </w:tcPr>
          <w:p w14:paraId="2553C703" w14:textId="77777777" w:rsidR="00741353" w:rsidRDefault="00AF0D74">
            <w:pPr>
              <w:spacing w:after="60" w:line="360" w:lineRule="exact"/>
            </w:pPr>
            <w:r>
              <w:rPr>
                <w:rFonts w:ascii="黑体" w:eastAsia="黑体" w:hAnsi="黑体" w:cs="黑体"/>
                <w:b/>
                <w:bCs/>
                <w:sz w:val="23"/>
                <w:szCs w:val="23"/>
              </w:rPr>
              <w:t>栏目</w:t>
            </w:r>
          </w:p>
        </w:tc>
        <w:tc>
          <w:tcPr>
            <w:tcW w:w="6860" w:type="dxa"/>
            <w:shd w:val="clear" w:color="auto" w:fill="E8EEF3"/>
            <w:vAlign w:val="center"/>
          </w:tcPr>
          <w:p w14:paraId="1A068D37" w14:textId="77777777" w:rsidR="00741353" w:rsidRDefault="00AF0D74">
            <w:pPr>
              <w:spacing w:after="60" w:line="360" w:lineRule="exact"/>
            </w:pPr>
            <w:r>
              <w:rPr>
                <w:rFonts w:ascii="黑体" w:eastAsia="黑体" w:hAnsi="黑体" w:cs="黑体"/>
                <w:b/>
                <w:bCs/>
                <w:sz w:val="23"/>
                <w:szCs w:val="23"/>
              </w:rPr>
              <w:t>本期要点</w:t>
            </w:r>
          </w:p>
        </w:tc>
      </w:tr>
      <w:tr w:rsidR="00741353" w14:paraId="0DAE04B9" w14:textId="77777777">
        <w:trPr>
          <w:cantSplit/>
        </w:trPr>
        <w:tc>
          <w:tcPr>
            <w:tcW w:w="2778" w:type="dxa"/>
            <w:vAlign w:val="center"/>
          </w:tcPr>
          <w:p w14:paraId="0A696661" w14:textId="77777777" w:rsidR="00741353" w:rsidRDefault="00AF0D74">
            <w:pPr>
              <w:spacing w:after="60" w:line="360" w:lineRule="exact"/>
              <w:wordWrap w:val="0"/>
            </w:pPr>
            <w:r>
              <w:rPr>
                <w:rFonts w:ascii="黑体" w:eastAsia="黑体" w:hAnsi="黑体" w:cs="黑体"/>
                <w:b/>
                <w:bCs/>
                <w:sz w:val="23"/>
                <w:szCs w:val="23"/>
              </w:rPr>
              <w:t>一、法规标准与标签宣称</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CBD茶通报提示：成分检出与新食品准入须分别核对，不能用海外销售代替目标市场许可。</w:t>
            </w:r>
          </w:p>
        </w:tc>
      </w:tr>
      <w:tr w:rsidR="00741353" w14:paraId="3D7E9BE7" w14:textId="77777777">
        <w:trPr>
          <w:cantSplit/>
        </w:trPr>
        <w:tc>
          <w:tcPr>
            <w:tcW w:w="2778" w:type="dxa"/>
            <w:vAlign w:val="center"/>
          </w:tcPr>
          <w:p w14:paraId="67F7E866" w14:textId="77777777" w:rsidR="00741353" w:rsidRDefault="00AF0D74">
            <w:pPr>
              <w:spacing w:after="60" w:line="360" w:lineRule="exact"/>
              <w:wordWrap w:val="0"/>
            </w:pPr>
            <w:r>
              <w:rPr>
                <w:rFonts w:ascii="黑体" w:eastAsia="黑体" w:hAnsi="黑体" w:cs="黑体"/>
                <w:b/>
                <w:bCs/>
                <w:sz w:val="23"/>
                <w:szCs w:val="23"/>
              </w:rPr>
              <w:t>二、质量安全与检测预警</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苹果汁记录为143及153 μg/kg展青霉素；复核原料批次、混配及成品放行，不将处理工艺当作污染控制保证。</w:t>
            </w:r>
          </w:p>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咖啡原料风险不因加香而消失：区分研磨咖啡、提取液和即饮产品的适用限量与方法。</w:t>
            </w:r>
          </w:p>
        </w:tc>
      </w:tr>
      <w:tr w:rsidR="00741353" w14:paraId="716A2FD7" w14:textId="77777777">
        <w:trPr>
          <w:cantSplit/>
        </w:trPr>
        <w:tc>
          <w:tcPr>
            <w:tcW w:w="2778" w:type="dxa"/>
            <w:vAlign w:val="center"/>
          </w:tcPr>
          <w:p w14:paraId="3D2FCD93" w14:textId="77777777" w:rsidR="00741353" w:rsidRDefault="00AF0D74">
            <w:pPr>
              <w:spacing w:after="60" w:line="360" w:lineRule="exact"/>
              <w:wordWrap w:val="0"/>
            </w:pPr>
            <w:r>
              <w:rPr>
                <w:rFonts w:ascii="黑体" w:eastAsia="黑体" w:hAnsi="黑体" w:cs="黑体"/>
                <w:b/>
                <w:bCs/>
                <w:sz w:val="23"/>
                <w:szCs w:val="23"/>
              </w:rPr>
              <w:t>三、原料配方与产品研发</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 xml:space="preserve">本期暂无可刊发条目。</w:t>
            </w:r>
          </w:p>
        </w:tc>
      </w:tr>
      <w:tr w:rsidR="00741353" w14:paraId="30568B6B" w14:textId="77777777">
        <w:trPr>
          <w:cantSplit/>
        </w:trPr>
        <w:tc>
          <w:tcPr>
            <w:tcW w:w="2778" w:type="dxa"/>
            <w:vAlign w:val="center"/>
          </w:tcPr>
          <w:p w14:paraId="11BA2FBD" w14:textId="77777777" w:rsidR="00741353" w:rsidRDefault="00AF0D74">
            <w:pPr>
              <w:spacing w:after="60" w:line="360" w:lineRule="exact"/>
              <w:wordWrap w:val="0"/>
            </w:pPr>
            <w:r>
              <w:rPr>
                <w:rFonts w:ascii="黑体" w:eastAsia="黑体" w:hAnsi="黑体" w:cs="黑体"/>
                <w:b/>
                <w:bCs/>
                <w:sz w:val="23"/>
                <w:szCs w:val="23"/>
              </w:rPr>
              <w:t>四、加工工艺、装备与包装</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箱中袋新接口强调首次连接密封与断开后闭合；微生物、密封及清洗适配仍须按实际饮料验证。</w:t>
            </w:r>
          </w:p>
        </w:tc>
      </w:tr>
      <w:tr w:rsidR="00741353" w14:paraId="348AD92E" w14:textId="77777777">
        <w:trPr>
          <w:cantSplit/>
        </w:trPr>
        <w:tc>
          <w:tcPr>
            <w:tcW w:w="2778" w:type="dxa"/>
            <w:vAlign w:val="center"/>
          </w:tcPr>
          <w:p w14:paraId="032F4B9D" w14:textId="77777777" w:rsidR="00741353" w:rsidRDefault="00AF0D74">
            <w:pPr>
              <w:spacing w:after="60" w:line="360" w:lineRule="exact"/>
              <w:wordWrap w:val="0"/>
            </w:pPr>
            <w:r>
              <w:rPr>
                <w:rFonts w:ascii="黑体" w:eastAsia="黑体" w:hAnsi="黑体" w:cs="黑体"/>
                <w:b/>
                <w:bCs/>
                <w:sz w:val="23"/>
                <w:szCs w:val="23"/>
              </w:rPr>
              <w:t>五、市场消费、企业与供应链</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北美饮料报告收入增5%主要受并购推动，销量下降2%；企业表现不能代表饮料全市场。</w:t>
            </w:r>
          </w:p>
        </w:tc>
      </w:tr>
      <w:tr w:rsidR="00741353" w14:paraId="4E96E3BA" w14:textId="77777777">
        <w:trPr>
          <w:cantSplit/>
        </w:trPr>
        <w:tc>
          <w:tcPr>
            <w:tcW w:w="2778" w:type="dxa"/>
            <w:vAlign w:val="center"/>
          </w:tcPr>
          <w:p w14:paraId="4DBA7D85" w14:textId="77777777" w:rsidR="00741353" w:rsidRDefault="00AF0D74">
            <w:pPr>
              <w:spacing w:after="60" w:line="360" w:lineRule="exact"/>
              <w:wordWrap w:val="0"/>
            </w:pPr>
            <w:r>
              <w:rPr>
                <w:rFonts w:ascii="黑体" w:eastAsia="黑体" w:hAnsi="黑体" w:cs="黑体"/>
                <w:b/>
                <w:bCs/>
                <w:sz w:val="23"/>
                <w:szCs w:val="23"/>
              </w:rPr>
              <w:t>六、资源效率、绿色制造与技术交流</w:t>
            </w:r>
          </w:p>
        </w:tc>
        <w:tc>
          <w:tcPr>
            <w:tcW w:w="6860" w:type="dxa"/>
            <w:vAlign w:val="center"/>
          </w:tcPr>
          <w:p w14:paraId="08895642" w14:textId="77777777" w:rsidR="00741353" w:rsidRDefault="00AF0D74">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 xml:space="preserve">首卷产出是调试进展，60万吨设计产能及2027年供货计划仍须区分于实际可采购产量。</w:t>
            </w:r>
          </w:p>
        </w:tc>
      </w:tr>
    </w:tbl>
    <w:p w14:paraId="0DAB29BE" w14:textId="77777777" w:rsidR="00741353" w:rsidRDefault="00AF0D74">
      <w:pPr>
        <w:spacing w:line="290" w:lineRule="exact"/>
        <w:wordWrap w:val="0"/>
      </w:pPr>
      <w:r>
        <w:rPr>
          <w:rFonts w:ascii="宋体" w:eastAsia="宋体" w:hAnsi="宋体" w:cs="宋体"/>
          <w:color w:val="555555"/>
          <w:sz w:val="19"/>
          <w:szCs w:val="19"/>
        </w:rPr>
        <w:t xml:space="preserve">本期围绕茶与咖啡上游原料准入、果汁和咖啡真菌毒素、浓缩饮料包装接口及海外供应链组织六条信息。中国相关来源本次未核得可入选的窗口内新增，部分官网访问或列表覆盖受限；这一结果不代表国内本周没有更新。实际编制日期为2026年10月10日，覆盖窗口保持原周五16:30闭环。</w:t>
      </w:r>
    </w:p>
    <w:p w14:paraId="7A6D2953" w14:textId="77777777" w:rsidR="00741353" w:rsidRDefault="00AF0D74">
      <w:pPr>
        <w:pStyle w:val="1"/>
        <w:spacing w:before="200" w:line="440" w:lineRule="exact"/>
        <w:wordWrap w:val="0"/>
        <w:pageBreakBefore w:val="1"/>
      </w:pPr>
      <w:r>
        <w:t xml:space="preserve">一、法规标准与标签宣称</w:t>
      </w:r>
    </w:p>
    <w:p w14:paraId="48D7440C" w14:textId="77777777" w:rsidR="00741353" w:rsidRDefault="00AF0D74">
      <w:pPr>
        <w:pStyle w:val="21"/>
        <w:spacing w:before="140" w:line="380" w:lineRule="exact"/>
        <w:wordWrap w:val="0"/>
      </w:pPr>
      <w:r>
        <w:t xml:space="preserve">荷兰来源茶产品检出CBD：先核原料准入，再谈功能定位</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欧盟｜2026-10-08通报核验</w:t>
      </w:r>
    </w:p>
    <w:p w14:paraId="75463394" w14:textId="77777777" w:rsidR="00741353" w:rsidRDefault="00AF0D74">
      <w:pPr>
        <w:keepNext/>
        <w:spacing w:line="360" w:lineRule="exact"/>
        <w:ind w:firstLine="480"/>
        <w:wordWrap w:val="0"/>
        <w:keepLines w:val="1"/>
      </w:pPr>
      <w:r>
        <w:t xml:space="preserve">荷兰来源茶产品检出大麻二酚（CBD）1780±180 mg/kg，奥地利于10月8日通过RASFF通报2026.8943报告。官方将问题归为未经授权的新食品成分，通报类型为“供跟进的信息通报”，风险判断为“潜在风险”。原记录的产品为30 g茶产品，不能将该浓度理解为冲泡茶汤或即饮茶中的含量。</w:t>
      </w:r>
    </w:p>
    <w:p w14:paraId="75463394" w14:textId="77777777" w:rsidR="00741353" w:rsidRDefault="00AF0D74">
      <w:pPr>
        <w:keepNext/>
        <w:spacing w:line="360" w:lineRule="exact"/>
        <w:ind w:firstLine="480"/>
        <w:wordWrap w:val="0"/>
        <w:keepLines w:val="1"/>
      </w:pPr>
      <w:r>
        <w:t xml:space="preserve">对茶饮料及其上游原料采购，建议分别核对植物来源、提取物组成、供应商规格及目标市场食品准入条件，再审查任何功能或健康表述。此案说明的是具体产品的准入问题，不证明所有含大麻植物成分的产品均适用同一结论，也不构成中国市场使用许可。</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1">
        <w:r>
          <w:rPr>
            <w:rFonts w:ascii="宋体" w:eastAsia="宋体" w:hAnsi="宋体" w:cs="宋体"/>
            <w:color w:val="245D83"/>
            <w:sz w:val="19"/>
            <w:szCs w:val="19"/>
            <w:u w:val="single"/>
          </w:rPr>
          <w:t>欧盟委员会RASFF｜2026.8943</w:t>
        </w:r>
      </w:hyperlink>
    </w:p>
    <w:p w14:paraId="7A6D2953" w14:textId="77777777" w:rsidR="00741353" w:rsidRDefault="00AF0D74">
      <w:pPr>
        <w:pStyle w:val="1"/>
        <w:spacing w:before="200" w:line="440" w:lineRule="exact"/>
        <w:wordWrap w:val="0"/>
        <w:pageBreakBefore w:val="0"/>
      </w:pPr>
      <w:r>
        <w:t xml:space="preserve">二、质量安全与检测预警</w:t>
      </w:r>
    </w:p>
    <w:p w14:paraId="48D7440C" w14:textId="77777777" w:rsidR="00741353" w:rsidRDefault="00AF0D74">
      <w:pPr>
        <w:pStyle w:val="21"/>
        <w:spacing w:before="140" w:line="380" w:lineRule="exact"/>
        <w:wordWrap w:val="0"/>
      </w:pPr>
      <w:r>
        <w:t xml:space="preserve">德国苹果汁展青霉素通报：将原果验收与成品放行衔接</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欧盟｜2026-10-08通报核验</w:t>
      </w:r>
    </w:p>
    <w:p w14:paraId="75463394" w14:textId="77777777" w:rsidR="00741353" w:rsidRDefault="00AF0D74">
      <w:pPr>
        <w:keepNext/>
        <w:spacing w:line="360" w:lineRule="exact"/>
        <w:ind w:firstLine="480"/>
        <w:wordWrap w:val="0"/>
        <w:keepLines w:val="1"/>
      </w:pPr>
      <w:r>
        <w:t xml:space="preserve">RASFF通报2026.8960涉及德国苹果汁，企业自检触发警报通报，记录两项展青霉素结果为153 μg/kg和143 μg/kg，并列出50 μg/kg限量。原记录涉及200 mL包装，分销信息含法国和荷兰；措施为通知主管部门和经营者扣留。风险判断为“潜在严重”，不能把记录中的扣留写成所有市场已完成召回。</w:t>
      </w:r>
    </w:p>
    <w:p w14:paraId="75463394" w14:textId="77777777" w:rsidR="00741353" w:rsidRDefault="00AF0D74">
      <w:pPr>
        <w:keepNext/>
        <w:spacing w:line="360" w:lineRule="exact"/>
        <w:ind w:firstLine="480"/>
        <w:wordWrap w:val="0"/>
        <w:keepLines w:val="1"/>
      </w:pPr>
      <w:r>
        <w:t xml:space="preserve">果汁企业可优先回查腐败果剔除、原果或浓缩汁采购批次、混配关系与对应成品检验，确认放行标准和方法定量能力。上述结果与抽样日期为个案证据，不能外推整个德国苹果汁行业；监测日期采用10月8日通报核验日，原样品采集发生于9月。</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2">
        <w:r>
          <w:rPr>
            <w:rFonts w:ascii="宋体" w:eastAsia="宋体" w:hAnsi="宋体" w:cs="宋体"/>
            <w:color w:val="245D83"/>
            <w:sz w:val="19"/>
            <w:szCs w:val="19"/>
            <w:u w:val="single"/>
          </w:rPr>
          <w:t>欧盟委员会RASFF｜2026.8960</w:t>
        </w:r>
      </w:hyperlink>
    </w:p>
    <w:p w14:paraId="48D7440C" w14:textId="77777777" w:rsidR="00741353" w:rsidRDefault="00AF0D74">
      <w:pPr>
        <w:pStyle w:val="21"/>
        <w:spacing w:before="140" w:line="380" w:lineRule="exact"/>
        <w:wordWrap w:val="0"/>
      </w:pPr>
      <w:r>
        <w:t xml:space="preserve">意大利焦糖风味研磨咖啡赭曲霉毒素A超限</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欧盟｜2026-10-07通报核验</w:t>
      </w:r>
    </w:p>
    <w:p w14:paraId="75463394" w14:textId="77777777" w:rsidR="00741353" w:rsidRDefault="00AF0D74">
      <w:pPr>
        <w:keepNext/>
        <w:spacing w:line="360" w:lineRule="exact"/>
        <w:ind w:firstLine="480"/>
        <w:wordWrap w:val="0"/>
        <w:keepLines w:val="1"/>
      </w:pPr>
      <w:r>
        <w:t xml:space="preserve">芬兰通过RASFF通报2026.8868报告意大利来源焦糖风味研磨咖啡的赭曲霉毒素A问题。官方记录结果6.5 μg/kg，所列限量3.0 μg/kg，通报为警报，风险判断“严重”；产品描述为250 g常温包装，措施为销毁，记录未显示从通报国向其他国家分销。</w:t>
      </w:r>
    </w:p>
    <w:p w14:paraId="75463394" w14:textId="77777777" w:rsidR="00741353" w:rsidRDefault="00AF0D74">
      <w:pPr>
        <w:keepNext/>
        <w:spacing w:line="360" w:lineRule="exact"/>
        <w:ind w:firstLine="480"/>
        <w:wordWrap w:val="0"/>
        <w:keepLines w:val="1"/>
      </w:pPr>
      <w:r>
        <w:t xml:space="preserve">该案与工业化咖啡饮料的关系在上游原料控制。建议咖啡提取及即饮咖啡企业回查研磨咖啡或提取原料供应商的批次检验、加香工序及追溯链，并根据实际食品类别选择适用限量。不得把研磨咖啡的3.0 μg/kg直接移用为即饮咖啡标准，也不能仅凭该案推定某一加工步骤能够消除污染。</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3">
        <w:r>
          <w:rPr>
            <w:rFonts w:ascii="宋体" w:eastAsia="宋体" w:hAnsi="宋体" w:cs="宋体"/>
            <w:color w:val="245D83"/>
            <w:sz w:val="19"/>
            <w:szCs w:val="19"/>
            <w:u w:val="single"/>
          </w:rPr>
          <w:t>欧盟委员会RASFF｜2026.8868</w:t>
        </w:r>
      </w:hyperlink>
    </w:p>
    <w:p w14:paraId="7A6D2953" w14:textId="77777777" w:rsidR="00741353" w:rsidRDefault="00AF0D74">
      <w:pPr>
        <w:pStyle w:val="1"/>
        <w:spacing w:before="200" w:line="440" w:lineRule="exact"/>
        <w:wordWrap w:val="0"/>
        <w:pageBreakBefore w:val="0"/>
      </w:pPr>
      <w:r>
        <w:t xml:space="preserve">四、加工工艺、装备与包装</w:t>
      </w:r>
    </w:p>
    <w:p w14:paraId="48D7440C" w14:textId="77777777" w:rsidR="00741353" w:rsidRDefault="00AF0D74">
      <w:pPr>
        <w:pStyle w:val="21"/>
        <w:spacing w:before="140" w:line="380" w:lineRule="exact"/>
        <w:wordWrap w:val="0"/>
      </w:pPr>
      <w:r>
        <w:t xml:space="preserve">SIG推出可重新闭合的箱中袋接口，适配饮料浓缩液分配系统</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国际｜2026-10-06发布</w:t>
      </w:r>
    </w:p>
    <w:p w14:paraId="75463394" w14:textId="77777777" w:rsidR="00741353" w:rsidRDefault="00AF0D74">
      <w:pPr>
        <w:keepNext/>
        <w:spacing w:line="360" w:lineRule="exact"/>
        <w:ind w:firstLine="480"/>
        <w:wordWrap w:val="0"/>
        <w:keepLines w:val="1"/>
      </w:pPr>
      <w:r>
        <w:t xml:space="preserve">SIG于10月6日发布CleanClic Connect箱中袋接口，可用于饮料浓缩液、茶等分配场景。企业介绍，首次连接前接口保持密封；连接时探针开启流路，断开时塞件回到过盈配合位置以实现重新闭合，并可兼容箱中托盘系统。</w:t>
      </w:r>
    </w:p>
    <w:p w14:paraId="75463394" w14:textId="77777777" w:rsidR="00741353" w:rsidRDefault="00AF0D74">
      <w:pPr>
        <w:keepNext/>
        <w:spacing w:line="360" w:lineRule="exact"/>
        <w:ind w:firstLine="480"/>
        <w:wordWrap w:val="0"/>
        <w:keepLines w:val="1"/>
      </w:pPr>
      <w:r>
        <w:t xml:space="preserve">这是一项包装供应商的产品披露，尚不能据此认定实际应用中已达到某个无菌保障水平、开封使用期或减废比例。采用该方案的饮料浓缩液生产商，可按产品酸度、黏度、接触温度及使用周期验证材料合规、接口密封和反复连接性能，并与分配设备的清洗消毒方案联动评价。</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4">
        <w:r>
          <w:rPr>
            <w:rFonts w:ascii="宋体" w:eastAsia="宋体" w:hAnsi="宋体" w:cs="宋体"/>
            <w:color w:val="245D83"/>
            <w:sz w:val="19"/>
            <w:szCs w:val="19"/>
            <w:u w:val="single"/>
          </w:rPr>
          <w:t>SIG官方产品发布</w:t>
        </w:r>
      </w:hyperlink>
    </w:p>
    <w:p w14:paraId="7A6D2953" w14:textId="77777777" w:rsidR="00741353" w:rsidRDefault="00AF0D74">
      <w:pPr>
        <w:pStyle w:val="1"/>
        <w:spacing w:before="200" w:line="440" w:lineRule="exact"/>
        <w:wordWrap w:val="0"/>
        <w:pageBreakBefore w:val="0"/>
      </w:pPr>
      <w:r>
        <w:t xml:space="preserve">五、市场消费、企业与供应链</w:t>
      </w:r>
    </w:p>
    <w:p w14:paraId="48D7440C" w14:textId="77777777" w:rsidR="00741353" w:rsidRDefault="00AF0D74">
      <w:pPr>
        <w:pStyle w:val="21"/>
        <w:spacing w:before="140" w:line="380" w:lineRule="exact"/>
        <w:wordWrap w:val="0"/>
      </w:pPr>
      <w:r>
        <w:t xml:space="preserve">百事三季度北美饮料收入增5%，需区分并购与内生增长</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美国｜2026-10-08发布</w:t>
      </w:r>
    </w:p>
    <w:p w14:paraId="75463394" w14:textId="77777777" w:rsidR="00741353" w:rsidRDefault="00AF0D74">
      <w:pPr>
        <w:keepNext/>
        <w:spacing w:line="360" w:lineRule="exact"/>
        <w:ind w:firstLine="480"/>
        <w:wordWrap w:val="0"/>
        <w:keepLines w:val="1"/>
      </w:pPr>
      <w:r>
        <w:t xml:space="preserve">百事公司2026年第三季度集团净收入252.74亿美元，同比增长5.6%，有机收入增长3.1%。业绩于10月8日发布，报告期为截至9月5日的12周。其中北美饮料报告收入增长5%，公司说明主要反映2025年并购收益；分部表中有机收入增长显示为“—”（即无增长），饮料销量下降2%。</w:t>
      </w:r>
    </w:p>
    <w:p w14:paraId="75463394" w14:textId="77777777" w:rsidR="00741353" w:rsidRDefault="00AF0D74">
      <w:pPr>
        <w:keepNext/>
        <w:spacing w:line="360" w:lineRule="exact"/>
        <w:ind w:firstLine="480"/>
        <w:wordWrap w:val="0"/>
        <w:keepLines w:val="1"/>
      </w:pPr>
      <w:r>
        <w:t xml:space="preserve">国际饮料特许经营分部同期有机收入增长7%、饮料销量增长5%，体现不同业务区域的差异。建议供应链与服务团队按区域、品类及渠道评估需求，分别观察报告收入、并购贡献与销量，避免将集团食品和饮料合并口径作为饮料市场规模。管理层提出的结构性降本和创新投入属于后续安排，不能当作已经兑现的经营改善。</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5">
        <w:r>
          <w:rPr>
            <w:rFonts w:ascii="宋体" w:eastAsia="宋体" w:hAnsi="宋体" w:cs="宋体"/>
            <w:color w:val="245D83"/>
            <w:sz w:val="19"/>
            <w:szCs w:val="19"/>
            <w:u w:val="single"/>
          </w:rPr>
          <w:t>百事公司业绩发布｜SEC附件99.1</w:t>
        </w:r>
      </w:hyperlink>
    </w:p>
    <w:p w14:paraId="7A6D2953" w14:textId="77777777" w:rsidR="00741353" w:rsidRDefault="00AF0D74">
      <w:pPr>
        <w:pStyle w:val="1"/>
        <w:spacing w:before="200" w:line="440" w:lineRule="exact"/>
        <w:wordWrap w:val="0"/>
        <w:pageBreakBefore w:val="0"/>
      </w:pPr>
      <w:r>
        <w:t xml:space="preserve">六、资源效率、绿色制造与技术交流</w:t>
      </w:r>
    </w:p>
    <w:p w14:paraId="48D7440C" w14:textId="77777777" w:rsidR="00741353" w:rsidRDefault="00AF0D74">
      <w:pPr>
        <w:pStyle w:val="21"/>
        <w:spacing w:before="140" w:line="380" w:lineRule="exact"/>
        <w:wordWrap w:val="0"/>
      </w:pPr>
      <w:r>
        <w:t xml:space="preserve">Novelis新铝轧制回收工厂产出首卷，商业供货仍待2027年</w:t>
      </w:r>
    </w:p>
    <w:p w14:paraId="055A539C" w14:textId="77777777" w:rsidR="00741353" w:rsidRDefault="00AF0D74">
      <w:pPr>
        <w:keepNext/>
        <w:spacing w:line="290" w:lineRule="exact"/>
        <w:wordWrap w:val="0"/>
      </w:pPr>
      <w:r>
        <w:rPr>
          <w:rFonts w:ascii="宋体" w:eastAsia="宋体" w:hAnsi="宋体" w:cs="宋体"/>
          <w:color w:val="555555"/>
          <w:sz w:val="19"/>
          <w:szCs w:val="19"/>
        </w:rPr>
        <w:t xml:space="preserve">美国｜2026-10-07发布</w:t>
      </w:r>
    </w:p>
    <w:p w14:paraId="75463394" w14:textId="77777777" w:rsidR="00741353" w:rsidRDefault="00AF0D74">
      <w:pPr>
        <w:keepNext/>
        <w:spacing w:line="360" w:lineRule="exact"/>
        <w:ind w:firstLine="480"/>
        <w:wordWrap w:val="0"/>
        <w:keepLines w:val="1"/>
      </w:pPr>
      <w:r>
        <w:t xml:space="preserve">Novelis于10月7日宣布，美国阿拉巴马州Bay Minette铝回收及轧制工厂的冷轧机产出首卷。项目投资约50亿美元；企业披露，完全运行后的设计年轧制产能为60万吨，面向饮料包装、汽车及特种产品，回收中心设计每年可处理逾150亿个使用过的饮料罐。</w:t>
      </w:r>
    </w:p>
    <w:p w14:paraId="75463394" w14:textId="77777777" w:rsidR="00741353" w:rsidRDefault="00AF0D74">
      <w:pPr>
        <w:keepNext/>
        <w:spacing w:line="360" w:lineRule="exact"/>
        <w:ind w:firstLine="480"/>
        <w:wordWrap w:val="0"/>
        <w:keepLines w:val="1"/>
      </w:pPr>
      <w:r>
        <w:t xml:space="preserve">企业仍在调试相关资产，计划于2027年第二季度开展客户认证及商业出货。对饮料罐供应链，这一节点可用于更新未来供给评估，但不能将设计产能全部计为饮料罐料，也不能记为当期已可采购新增产量。采购或绿色包装评价应进一步核对认证进度、材料质量及可追溯再生含量，不能从厂方规划推算已实现的减碳比例。</w:t>
      </w:r>
    </w:p>
    <w:p w14:paraId="21359F8A" w14:textId="7BCCA01E" w:rsidR="00741353" w:rsidRDefault="00AF0D74">
      <w:pPr>
        <w:spacing w:after="160" w:line="280" w:lineRule="exact"/>
      </w:pPr>
      <w:r>
        <w:rPr>
          <w:rFonts w:ascii="宋体" w:eastAsia="宋体" w:hAnsi="宋体" w:cs="宋体"/>
          <w:color w:val="555555"/>
          <w:sz w:val="19"/>
          <w:szCs w:val="19"/>
        </w:rPr>
        <w:t xml:space="preserve">来源 </w:t>
      </w:r>
      <w:hyperlink r:id="rIdNewsletterSource6">
        <w:r>
          <w:rPr>
            <w:rFonts w:ascii="宋体" w:eastAsia="宋体" w:hAnsi="宋体" w:cs="宋体"/>
            <w:color w:val="245D83"/>
            <w:sz w:val="19"/>
            <w:szCs w:val="19"/>
            <w:u w:val="single"/>
          </w:rPr>
          <w:t>Novelis官方发布</w:t>
        </w:r>
      </w:hyperlink>
    </w:p>
    <w:p w14:paraId="7234CB7C" w14:textId="77777777" w:rsidR="00741353" w:rsidRDefault="00AF0D74">
      <w:pPr>
        <w:pStyle w:val="21"/>
        <w:spacing w:before="140" w:line="380" w:lineRule="exact"/>
      </w:pPr>
      <w:r>
        <w:t>使用说明</w:t>
      </w:r>
    </w:p>
    <w:p w14:paraId="6E6F4F60" w14:textId="77777777" w:rsidR="00741353" w:rsidRDefault="00AF0D74">
      <w:pPr>
        <w:spacing w:line="290" w:lineRule="exact"/>
        <w:wordWrap w:val="0"/>
      </w:pPr>
      <w:r>
        <w:rPr>
          <w:sz w:val="21"/>
          <w:szCs w:val="21"/>
        </w:rPr>
        <w:t xml:space="preserve">本刊聚焦工业化预包装非酒精饮料及有明确关联的原料、装备与包装。RASFF日期采用欧盟委员会通报核验日期，样品采集日期另行区分；记录按具体产品、单位和处置措施解读。企业披露与未来计划不等同独立验证结果或已兑现产能。部分来源覆盖受限，未核实线索不作事实；本文建议用于企业技术与供应链核查，不构成目标市场使用许可。</w:t>
      </w:r>
    </w:p>
    <w:sectPr w:rsidR="00741353" w:rsidSect="00034616">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rsidR="00AF0D74" w:rsidRDefault="00AF0D74">
      <w:pPr>
        <w:spacing w:after="0" w:line="240" w:lineRule="auto"/>
      </w:pPr>
      <w:r>
        <w:separator/>
      </w:r>
    </w:p>
  </w:endnote>
  <w:endnote w:type="continuationSeparator" w:id="0">
    <w:p w14:paraId="0BB8E7FE" w14:textId="77777777" w:rsidR="00AF0D74" w:rsidRDefault="00AF0D74">
      <w:pPr>
        <w:spacing w:after="0" w:line="240" w:lineRule="auto"/>
      </w:pPr>
      <w:r>
        <w:continuationSeparator/>
      </w:r>
    </w:p>
  </w:endnote>
</w:endnotes>
</file>

<file path=word/fontTable.xml><?xml version="1.0" encoding="utf-8"?>
<w:fonts xmlns:w="http://schemas.openxmlformats.org/wordprocessingml/2006/main">
  <w:font w:name="宋体">
    <w:charset w:val="86"/>
  </w:font>
  <w:font w:name="黑体">
    <w:charset w:val="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rsidR="006F4FFB" w:rsidRDefault="006F4FF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rsidR="00071710" w:rsidRDefault="008A38A6">
    <w:pPr>
      <w:spacing w:line="240" w:lineRule="exact"/>
      <w:jc w:val="right"/>
    </w:pPr>
    <w:r>
      <w:rPr>
        <w:rFonts w:ascii="宋体" w:eastAsia="宋体" w:hAnsi="宋体" w:cs="宋体"/>
        <w:color w:val="555555"/>
        <w:sz w:val="17"/>
        <w:szCs w:val="17"/>
      </w:rPr>
      <w:t xml:space="preserve">饮料行业资讯周报（内部测试版）  第 </w:t>
    </w:r>
    <w:r w:rsidR="00071710">
      <w:rPr>
        <w:rFonts w:ascii="宋体" w:eastAsia="宋体" w:hAnsi="宋体" w:cs="宋体"/>
        <w:color w:val="555555"/>
        <w:sz w:val="17"/>
        <w:szCs w:val="17"/>
      </w:rPr>
      <w:fldChar w:fldCharType="begin"/>
    </w:r>
    <w:r w:rsidR="00071710">
      <w:rPr>
        <w:rFonts w:ascii="宋体" w:eastAsia="宋体" w:hAnsi="宋体" w:cs="宋体"/>
        <w:color w:val="555555"/>
        <w:sz w:val="17"/>
        <w:szCs w:val="17"/>
      </w:rPr>
      <w:instrText>PAGE</w:instrText>
    </w:r>
    <w:r w:rsidR="00071710">
      <w:rPr>
        <w:rFonts w:ascii="宋体" w:eastAsia="宋体" w:hAnsi="宋体" w:cs="宋体"/>
        <w:color w:val="555555"/>
        <w:sz w:val="17"/>
        <w:szCs w:val="17"/>
      </w:rPr>
      <w:fldChar w:fldCharType="separate"/>
    </w:r>
    <w:r w:rsidR="00144C9B">
      <w:rPr>
        <w:rFonts w:ascii="宋体" w:eastAsia="宋体" w:hAnsi="宋体" w:cs="宋体"/>
        <w:noProof/>
        <w:color w:val="555555"/>
        <w:sz w:val="17"/>
        <w:szCs w:val="17"/>
      </w:rPr>
      <w:t>1</w:t>
    </w:r>
    <w:r w:rsidR="00071710">
      <w:rPr>
        <w:rFonts w:ascii="宋体" w:eastAsia="宋体" w:hAnsi="宋体" w:cs="宋体"/>
        <w:color w:val="555555"/>
        <w:sz w:val="17"/>
        <w:szCs w:val="17"/>
      </w:rPr>
      <w:fldChar w:fldCharType="end"/>
    </w:r>
    <w:r>
      <w:rPr>
        <w:rFonts w:ascii="宋体" w:eastAsia="宋体" w:hAnsi="宋体" w:cs="宋体"/>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rsidR="006F4FFB" w:rsidRDefault="006F4FF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rsidR="00AF0D74" w:rsidRDefault="00AF0D74">
      <w:pPr>
        <w:spacing w:after="0" w:line="240" w:lineRule="auto"/>
      </w:pPr>
      <w:r>
        <w:separator/>
      </w:r>
    </w:p>
  </w:footnote>
  <w:footnote w:type="continuationSeparator" w:id="0">
    <w:p w14:paraId="01EFFB83" w14:textId="77777777" w:rsidR="00AF0D74" w:rsidRDefault="00AF0D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rsidR="006F4FFB" w:rsidRDefault="006F4FF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rsidR="00071710" w:rsidRDefault="00071710">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rsidR="006F4FFB" w:rsidRDefault="006F4FF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宋体" w:eastAsia="宋体" w:hAnsi="宋体" w:cs="宋体"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宋体" w:eastAsia="宋体" w:hAnsi="宋体" w:cs="宋体"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宋体" w:eastAsia="宋体" w:hAnsi="宋体" w:cs="宋体"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宋体" w:eastAsia="宋体" w:hAnsi="宋体" w:cs="宋体"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hideSpellingErrors w:val="true"/>
  <w:zoom w:percent="100"/>
  <w:bordersDoNotSurroundHeader/>
  <w:bordersDoNotSurroundFooter/>
  <w:hideGrammaticalErrors w:val="true"/>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saveSubsetFonts w:val="false"/>
  <w:embedSystemFonts w:val="false"/>
  <w:embedTrueType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黑体" w:eastAsia="黑体" w:hAnsi="黑体" w:cs="黑体"/>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黑体" w:eastAsia="黑体" w:hAnsi="黑体" w:cs="黑体"/>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黑体" w:eastAsia="黑体" w:hAnsi="黑体" w:cs="黑体"/>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黑体" w:eastAsia="黑体" w:hAnsi="黑体" w:cs="黑体"/>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宋体" w:eastAsia="宋体" w:hAnsi="宋体" w:cs="宋体"/>
    </w:rPr>
  </w:style>
  <w:style w:type="paragraph" w:styleId="6">
    <w:name w:val="heading 6"/>
    <w:basedOn w:val="a1"/>
    <w:next w:val="a1"/>
    <w:link w:val="60"/>
    <w:uiPriority w:val="9"/>
    <w:semiHidden/>
    <w:unhideWhenUsed/>
    <w:qFormat/>
    <w:rsid w:val="00FC693F"/>
    <w:pPr>
      <w:keepNext/>
      <w:keepLines/>
      <w:spacing w:before="200" w:after="0"/>
      <w:outlineLvl w:val="5"/>
    </w:pPr>
    <w:rPr>
      <w:rFonts w:ascii="宋体" w:eastAsia="宋体" w:hAnsi="宋体" w:cs="宋体"/>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宋体" w:eastAsia="宋体" w:hAnsi="宋体" w:cs="宋体"/>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宋体" w:eastAsia="宋体" w:hAnsi="宋体" w:cs="宋体"/>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宋体" w:eastAsia="宋体" w:hAnsi="宋体" w:cs="宋体"/>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宋体" w:eastAsia="宋体" w:hAnsi="宋体" w:cs="宋体"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宋体" w:eastAsia="宋体" w:hAnsi="宋体" w:cs="宋体"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黑体" w:eastAsia="黑体" w:hAnsi="黑体" w:cs="黑体" w:hint="eastAsia"/>
      <w:b/>
      <w:bCs/>
      <w:i w:val="0"/>
      <w:color w:val="000000"/>
      <w:sz w:val="28"/>
      <w:szCs w:val="28"/>
      <w:lang w:val="zh-CN" w:eastAsia="zh-CN"/>
    </w:rPr>
  </w:style>
  <w:style w:type="character" w:customStyle="1" w:styleId="22">
    <w:name w:val="标题 2 字符"/>
    <w:basedOn w:val="a2"/>
    <w:link w:val="21"/>
    <w:uiPriority w:val="9"/>
    <w:rsid w:val="00FC693F"/>
    <w:rPr>
      <w:rFonts w:ascii="黑体" w:eastAsia="黑体" w:hAnsi="黑体" w:cs="黑体" w:hint="eastAsia"/>
      <w:b/>
      <w:bCs/>
      <w:i w:val="0"/>
      <w:color w:val="000000"/>
      <w:sz w:val="26"/>
      <w:szCs w:val="26"/>
      <w:lang w:val="zh-CN" w:eastAsia="zh-CN"/>
    </w:rPr>
  </w:style>
  <w:style w:type="character" w:customStyle="1" w:styleId="32">
    <w:name w:val="标题 3 字符"/>
    <w:basedOn w:val="a2"/>
    <w:link w:val="31"/>
    <w:uiPriority w:val="9"/>
    <w:rsid w:val="00FC693F"/>
    <w:rPr>
      <w:rFonts w:ascii="黑体" w:eastAsia="黑体" w:hAnsi="黑体" w:cs="黑体"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黑体" w:eastAsia="黑体" w:hAnsi="黑体" w:cs="黑体"/>
      <w:b/>
      <w:bCs/>
      <w:sz w:val="46"/>
      <w:szCs w:val="46"/>
    </w:rPr>
  </w:style>
  <w:style w:type="character" w:customStyle="1" w:styleId="ab">
    <w:name w:val="标题 字符"/>
    <w:basedOn w:val="a2"/>
    <w:link w:val="aa"/>
    <w:uiPriority w:val="10"/>
    <w:rsid w:val="00FC693F"/>
    <w:rPr>
      <w:rFonts w:ascii="宋体" w:eastAsia="宋体" w:hAnsi="宋体" w:cs="宋体"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宋体" w:eastAsia="宋体" w:hAnsi="宋体" w:cs="宋体"/>
      <w:iCs/>
      <w:sz w:val="22"/>
      <w:szCs w:val="22"/>
    </w:rPr>
  </w:style>
  <w:style w:type="character" w:customStyle="1" w:styleId="ad">
    <w:name w:val="副标题 字符"/>
    <w:basedOn w:val="a2"/>
    <w:link w:val="ac"/>
    <w:uiPriority w:val="11"/>
    <w:rsid w:val="00FC693F"/>
    <w:rPr>
      <w:rFonts w:ascii="宋体" w:eastAsia="宋体" w:hAnsi="宋体" w:cs="宋体"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宋体" w:eastAsia="宋体" w:hAnsi="宋体" w:cs="宋体"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宋体" w:eastAsia="宋体" w:hAnsi="宋体" w:cs="宋体"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宋体" w:eastAsia="宋体" w:hAnsi="宋体" w:cs="宋体"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宋体" w:eastAsia="宋体" w:hAnsi="宋体" w:cs="宋体"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宋体" w:eastAsia="宋体" w:hAnsi="宋体" w:cs="宋体" w:hint="eastAsia"/>
      <w:i w:val="0"/>
      <w:iCs/>
      <w:color w:val="000000"/>
      <w:lang w:val="zh-CN" w:eastAsia="zh-CN"/>
    </w:rPr>
  </w:style>
  <w:style w:type="character" w:customStyle="1" w:styleId="40">
    <w:name w:val="标题 4 字符"/>
    <w:basedOn w:val="a2"/>
    <w:link w:val="4"/>
    <w:uiPriority w:val="9"/>
    <w:semiHidden/>
    <w:rsid w:val="00FC693F"/>
    <w:rPr>
      <w:rFonts w:ascii="黑体" w:eastAsia="黑体" w:hAnsi="黑体" w:cs="黑体" w:hint="eastAsia"/>
      <w:b/>
      <w:bCs/>
      <w:i w:val="0"/>
      <w:iCs/>
      <w:color w:val="000000"/>
      <w:lang w:val="zh-CN" w:eastAsia="zh-CN"/>
    </w:rPr>
  </w:style>
  <w:style w:type="character" w:customStyle="1" w:styleId="50">
    <w:name w:val="标题 5 字符"/>
    <w:basedOn w:val="a2"/>
    <w:link w:val="5"/>
    <w:uiPriority w:val="9"/>
    <w:semiHidden/>
    <w:rsid w:val="00FC693F"/>
    <w:rPr>
      <w:rFonts w:ascii="宋体" w:eastAsia="宋体" w:hAnsi="宋体" w:cs="宋体" w:hint="eastAsia"/>
      <w:i w:val="0"/>
      <w:color w:val="000000"/>
      <w:lang w:val="zh-CN" w:eastAsia="zh-CN"/>
    </w:rPr>
  </w:style>
  <w:style w:type="character" w:customStyle="1" w:styleId="60">
    <w:name w:val="标题 6 字符"/>
    <w:basedOn w:val="a2"/>
    <w:link w:val="6"/>
    <w:uiPriority w:val="9"/>
    <w:semiHidden/>
    <w:rsid w:val="00FC693F"/>
    <w:rPr>
      <w:rFonts w:ascii="宋体" w:eastAsia="宋体" w:hAnsi="宋体" w:cs="宋体" w:hint="eastAsia"/>
      <w:i w:val="0"/>
      <w:iCs/>
      <w:color w:val="000000"/>
      <w:lang w:val="zh-CN" w:eastAsia="zh-CN"/>
    </w:rPr>
  </w:style>
  <w:style w:type="character" w:customStyle="1" w:styleId="70">
    <w:name w:val="标题 7 字符"/>
    <w:basedOn w:val="a2"/>
    <w:link w:val="7"/>
    <w:uiPriority w:val="9"/>
    <w:semiHidden/>
    <w:rsid w:val="00FC693F"/>
    <w:rPr>
      <w:rFonts w:ascii="宋体" w:eastAsia="宋体" w:hAnsi="宋体" w:cs="宋体" w:hint="eastAsia"/>
      <w:i w:val="0"/>
      <w:iCs/>
      <w:color w:val="000000"/>
      <w:lang w:val="zh-CN" w:eastAsia="zh-CN"/>
    </w:rPr>
  </w:style>
  <w:style w:type="character" w:customStyle="1" w:styleId="80">
    <w:name w:val="标题 8 字符"/>
    <w:basedOn w:val="a2"/>
    <w:link w:val="8"/>
    <w:uiPriority w:val="9"/>
    <w:semiHidden/>
    <w:rsid w:val="00FC693F"/>
    <w:rPr>
      <w:rFonts w:ascii="宋体" w:eastAsia="宋体" w:hAnsi="宋体" w:cs="宋体" w:hint="eastAsia"/>
      <w:i w:val="0"/>
      <w:color w:val="000000"/>
      <w:sz w:val="20"/>
      <w:szCs w:val="20"/>
      <w:lang w:val="zh-CN" w:eastAsia="zh-CN"/>
    </w:rPr>
  </w:style>
  <w:style w:type="character" w:customStyle="1" w:styleId="90">
    <w:name w:val="标题 9 字符"/>
    <w:basedOn w:val="a2"/>
    <w:link w:val="9"/>
    <w:uiPriority w:val="9"/>
    <w:semiHidden/>
    <w:rsid w:val="00FC693F"/>
    <w:rPr>
      <w:rFonts w:ascii="宋体" w:eastAsia="宋体" w:hAnsi="宋体" w:cs="宋体"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黑体" w:eastAsia="黑体" w:hAnsi="黑体" w:cs="黑体" w:hint="eastAsia"/>
      <w:b/>
      <w:bCs/>
      <w:i w:val="0"/>
      <w:color w:val="000000"/>
      <w:lang w:val="zh-CN" w:eastAsia="zh-CN"/>
    </w:rPr>
  </w:style>
  <w:style w:type="character" w:styleId="af9">
    <w:name w:val="Emphasis"/>
    <w:basedOn w:val="a2"/>
    <w:uiPriority w:val="20"/>
    <w:qFormat/>
    <w:rsid w:val="00FC693F"/>
    <w:rPr>
      <w:rFonts w:ascii="宋体" w:eastAsia="宋体" w:hAnsi="宋体" w:cs="宋体"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黑体" w:eastAsia="黑体" w:hAnsi="黑体" w:cs="黑体" w:hint="eastAsia"/>
      <w:b/>
      <w:bCs/>
      <w:i w:val="0"/>
      <w:iCs/>
      <w:color w:val="000000"/>
      <w:lang w:val="zh-CN" w:eastAsia="zh-CN"/>
    </w:rPr>
  </w:style>
  <w:style w:type="character" w:styleId="afc">
    <w:name w:val="Subtle Emphasis"/>
    <w:basedOn w:val="a2"/>
    <w:uiPriority w:val="19"/>
    <w:qFormat/>
    <w:rsid w:val="00FC693F"/>
    <w:rPr>
      <w:rFonts w:ascii="宋体" w:eastAsia="宋体" w:hAnsi="宋体" w:cs="宋体" w:hint="eastAsia"/>
      <w:i w:val="0"/>
      <w:iCs/>
      <w:color w:val="000000"/>
      <w:lang w:val="zh-CN" w:eastAsia="zh-CN"/>
    </w:rPr>
  </w:style>
  <w:style w:type="character" w:styleId="afd">
    <w:name w:val="Intense Emphasis"/>
    <w:basedOn w:val="a2"/>
    <w:uiPriority w:val="21"/>
    <w:qFormat/>
    <w:rsid w:val="00FC693F"/>
    <w:rPr>
      <w:rFonts w:ascii="黑体" w:eastAsia="黑体" w:hAnsi="黑体" w:cs="黑体" w:hint="eastAsia"/>
      <w:b/>
      <w:bCs/>
      <w:i w:val="0"/>
      <w:iCs/>
      <w:color w:val="000000"/>
      <w:lang w:val="zh-CN" w:eastAsia="zh-CN"/>
    </w:rPr>
  </w:style>
  <w:style w:type="character" w:styleId="afe">
    <w:name w:val="Subtle Reference"/>
    <w:basedOn w:val="a2"/>
    <w:uiPriority w:val="31"/>
    <w:qFormat/>
    <w:rsid w:val="00FC693F"/>
    <w:rPr>
      <w:rFonts w:ascii="宋体" w:eastAsia="宋体" w:hAnsi="宋体" w:cs="宋体" w:hint="eastAsia"/>
      <w:i w:val="0"/>
      <w:smallCaps/>
      <w:color w:val="000000"/>
      <w:u w:val="single"/>
      <w:lang w:val="zh-CN" w:eastAsia="zh-CN"/>
    </w:rPr>
  </w:style>
  <w:style w:type="character" w:styleId="aff">
    <w:name w:val="Intense Reference"/>
    <w:basedOn w:val="a2"/>
    <w:uiPriority w:val="32"/>
    <w:qFormat/>
    <w:rsid w:val="00FC693F"/>
    <w:rPr>
      <w:rFonts w:ascii="黑体" w:eastAsia="黑体" w:hAnsi="黑体" w:cs="黑体" w:hint="eastAsia"/>
      <w:b/>
      <w:bCs/>
      <w:i w:val="0"/>
      <w:smallCaps/>
      <w:color w:val="000000"/>
      <w:u w:val="single"/>
      <w:lang w:val="zh-CN" w:eastAsia="zh-CN"/>
    </w:rPr>
  </w:style>
  <w:style w:type="character" w:styleId="aff0">
    <w:name w:val="Book Title"/>
    <w:basedOn w:val="a2"/>
    <w:uiPriority w:val="33"/>
    <w:qFormat/>
    <w:rsid w:val="00FC693F"/>
    <w:rPr>
      <w:rFonts w:ascii="黑体" w:eastAsia="黑体" w:hAnsi="黑体" w:cs="黑体"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宋体" w:eastAsia="宋体" w:hAnsi="宋体" w:cs="宋体"/>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黑体" w:eastAsia="黑体" w:hAnsi="黑体" w:cs="黑体"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黑体" w:eastAsia="黑体" w:hAnsi="黑体" w:cs="黑体"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黑体" w:eastAsia="黑体" w:hAnsi="黑体" w:cs="黑体"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黑体" w:eastAsia="黑体" w:hAnsi="黑体" w:cs="黑体"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黑体" w:eastAsia="黑体" w:hAnsi="黑体" w:cs="黑体"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黑体" w:eastAsia="黑体" w:hAnsi="黑体" w:cs="黑体"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黑体" w:eastAsia="黑体" w:hAnsi="黑体" w:cs="黑体"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黑体" w:eastAsia="黑体" w:hAnsi="黑体" w:cs="黑体"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黑体" w:eastAsia="黑体" w:hAnsi="黑体" w:cs="黑体"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黑体" w:eastAsia="黑体" w:hAnsi="黑体" w:cs="黑体"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黑体" w:eastAsia="黑体" w:hAnsi="黑体" w:cs="黑体"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黑体" w:eastAsia="黑体" w:hAnsi="黑体" w:cs="黑体"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黑体" w:eastAsia="黑体" w:hAnsi="黑体" w:cs="黑体"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黑体" w:eastAsia="黑体" w:hAnsi="黑体" w:cs="黑体"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宋体" w:eastAsia="宋体" w:hAnsi="宋体" w:cs="宋体"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宋体" w:eastAsia="宋体" w:hAnsi="宋体" w:cs="宋体"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宋体" w:eastAsia="宋体" w:hAnsi="宋体" w:cs="宋体"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宋体" w:eastAsia="宋体" w:hAnsi="宋体" w:cs="宋体"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宋体" w:eastAsia="宋体" w:hAnsi="宋体" w:cs="宋体"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宋体" w:eastAsia="宋体" w:hAnsi="宋体" w:cs="宋体"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宋体" w:eastAsia="宋体" w:hAnsi="宋体" w:cs="宋体"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NewsletterSource1" Type="http://schemas.openxmlformats.org/officeDocument/2006/relationships/hyperlink" Target="https://webgate.ec.europa.eu/rasff-window/screen/notification/878383" TargetMode="External"/><Relationship Id="rIdNewsletterSource2" Type="http://schemas.openxmlformats.org/officeDocument/2006/relationships/hyperlink" Target="https://webgate.ec.europa.eu/rasff-window/screen/notification/878649" TargetMode="External"/><Relationship Id="rIdNewsletterSource3" Type="http://schemas.openxmlformats.org/officeDocument/2006/relationships/hyperlink" Target="https://webgate.ec.europa.eu/rasff-window/screen/notification/878091" TargetMode="External"/><Relationship Id="rIdNewsletterSource4" Type="http://schemas.openxmlformats.org/officeDocument/2006/relationships/hyperlink" Target="https://www.sig.biz/de-de/media/pressemitteilungen/sig-launcht-sig-cleanclic-connect-innovative-bag-in-box-loesung-fuer-einfaches-anschliessen-und-ausgiessen-im-gastronomiebereich" TargetMode="External"/><Relationship Id="rIdNewsletterSource5" Type="http://schemas.openxmlformats.org/officeDocument/2006/relationships/hyperlink" Target="https://www.sec.gov/Archives/edgar/data/77476/000007747626000050/q320268-kxexhibit991.htm" TargetMode="External"/><Relationship Id="rIdNewsletterSource6" Type="http://schemas.openxmlformats.org/officeDocument/2006/relationships/hyperlink" Target="https://investors.novelis.com/news-events/press-releases/detail/1427/novelis-produces-first-coil-at-greenfield-aluminum-rolling-and-recycling-plant-in-alaba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黑体"/>
        <a:ea typeface="黑体"/>
        <a:cs typeface="黑体"/>
        <a:font script="Jpan" typeface="黑体"/>
        <a:font script="Hang" typeface="黑体"/>
        <a:font script="Hans" typeface="黑体"/>
        <a:font script="Hant" typeface="黑体"/>
        <a:font script="Arab" typeface="黑体"/>
        <a:font script="Hebr" typeface="黑体"/>
        <a:font script="Thai" typeface="黑体"/>
        <a:font script="Ethi" typeface="黑体"/>
        <a:font script="Beng" typeface="黑体"/>
        <a:font script="Gujr" typeface="黑体"/>
        <a:font script="Khmr" typeface="黑体"/>
        <a:font script="Knda" typeface="黑体"/>
        <a:font script="Guru" typeface="黑体"/>
        <a:font script="Cans" typeface="黑体"/>
        <a:font script="Cher" typeface="黑体"/>
        <a:font script="Yiii" typeface="黑体"/>
        <a:font script="Tibt" typeface="黑体"/>
        <a:font script="Thaa" typeface="黑体"/>
        <a:font script="Deva" typeface="黑体"/>
        <a:font script="Telu" typeface="黑体"/>
        <a:font script="Taml" typeface="黑体"/>
        <a:font script="Syrc" typeface="黑体"/>
        <a:font script="Orya" typeface="黑体"/>
        <a:font script="Mlym" typeface="黑体"/>
        <a:font script="Laoo" typeface="黑体"/>
        <a:font script="Sinh" typeface="黑体"/>
        <a:font script="Mong" typeface="黑体"/>
        <a:font script="Viet" typeface="黑体"/>
        <a:font script="Uigh" typeface="黑体"/>
        <a:font script="Geor" typeface="黑体"/>
      </a:majorFont>
      <a:minorFont>
        <a:latin typeface="宋体"/>
        <a:ea typeface="宋体"/>
        <a:cs typeface="宋体"/>
        <a:font script="Jpan" typeface="宋体"/>
        <a:font script="Hang" typeface="宋体"/>
        <a:font script="Hans" typeface="宋体"/>
        <a:font script="Hant" typeface="宋体"/>
        <a:font script="Arab" typeface="宋体"/>
        <a:font script="Hebr" typeface="宋体"/>
        <a:font script="Thai" typeface="宋体"/>
        <a:font script="Ethi" typeface="宋体"/>
        <a:font script="Beng" typeface="宋体"/>
        <a:font script="Gujr" typeface="宋体"/>
        <a:font script="Khmr" typeface="宋体"/>
        <a:font script="Knda" typeface="宋体"/>
        <a:font script="Guru" typeface="宋体"/>
        <a:font script="Cans" typeface="宋体"/>
        <a:font script="Cher" typeface="宋体"/>
        <a:font script="Yiii" typeface="宋体"/>
        <a:font script="Tibt" typeface="宋体"/>
        <a:font script="Thaa" typeface="宋体"/>
        <a:font script="Deva" typeface="宋体"/>
        <a:font script="Telu" typeface="宋体"/>
        <a:font script="Taml" typeface="宋体"/>
        <a:font script="Syrc" typeface="宋体"/>
        <a:font script="Orya" typeface="宋体"/>
        <a:font script="Mlym" typeface="宋体"/>
        <a:font script="Laoo" typeface="宋体"/>
        <a:font script="Sinh" typeface="宋体"/>
        <a:font script="Mong" typeface="宋体"/>
        <a:font script="Viet" typeface="宋体"/>
        <a:font script="Uigh" typeface="宋体"/>
        <a:font script="Geor" typeface="宋体"/>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饮料行业资讯周报（内部测试版）</dc:title>
  <dc:subject>2026年10月2日16:30至10月9日16:30（北京时间）</dc:subject>
  <dc:creator/>
  <cp:keywords/>
  <dc:description/>
  <cp:lastModifiedBy/>
  <cp:revision>1</cp:revision>
  <dcterms:created xsi:type="dcterms:W3CDTF">2026-10-10T12:16:21Z</dcterms:created>
  <dcterms:modified xsi:type="dcterms:W3CDTF">2026-10-10T12:16:21Z</dcterms:modified>
  <cp:category/>
</cp:coreProperties>
</file>