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wordWrap w:val="0"/>
      </w:pPr>
      <w:r>
        <w:t>餐饮行业资讯周报（内部测试版）</w:t>
      </w:r>
    </w:p>
    <w:p w14:paraId="1DF36016" w14:textId="77777777" w:rsidR="00741353" w:rsidRDefault="00AF0D74">
      <w:pPr>
        <w:pStyle w:val="ac"/>
        <w:spacing w:after="160" w:line="320" w:lineRule="exact"/>
        <w:wordWrap w:val="0"/>
      </w:pPr>
      <w:r>
        <w:t>2026年9月18日16:30至9月25日16:30（北京时间）</w:t>
      </w:r>
    </w:p>
    <w:p w14:paraId="7A6D2953" w14:textId="77777777" w:rsidR="00741353" w:rsidRDefault="00AF0D74">
      <w:pPr>
        <w:pStyle w:val="1"/>
        <w:spacing w:before="200" w:line="440" w:lineRule="exact"/>
        <w:wordWrap w:val="0"/>
        <w:pageBreakBefore w:val="0"/>
      </w:pPr>
      <w:r>
        <w:t>一、行业资讯</w:t>
      </w:r>
    </w:p>
    <w:p w14:paraId="48D7440C" w14:textId="77777777" w:rsidR="00741353" w:rsidRDefault="00AF0D74">
      <w:pPr>
        <w:pStyle w:val="21"/>
        <w:spacing w:before="140" w:line="380" w:lineRule="exact"/>
        <w:wordWrap w:val="0"/>
      </w:pPr>
      <w:r>
        <w:t>武汉假日餐饮消费券启动龙虾券分批发放</w:t>
      </w:r>
    </w:p>
    <w:p w14:paraId="055A539C" w14:textId="77777777" w:rsidR="00741353" w:rsidRDefault="00AF0D74">
      <w:pPr>
        <w:keepNext/>
        <w:spacing w:line="290" w:lineRule="exact"/>
        <w:wordWrap w:val="0"/>
      </w:pPr>
      <w:r>
        <w:rPr>
          <w:rFonts w:ascii="宋体" w:eastAsia="宋体" w:hAnsi="宋体" w:cs="宋体"/>
          <w:color w:val="555555"/>
          <w:sz w:val="19"/>
          <w:szCs w:val="19"/>
        </w:rPr>
        <w:t>中国湖北武汉｜9月24日发布，龙虾券计划发放至12月底</w:t>
      </w:r>
    </w:p>
    <w:p w14:paraId="75463394" w14:textId="77777777" w:rsidR="00741353" w:rsidRDefault="00AF0D74">
      <w:pPr>
        <w:keepNext/>
        <w:spacing w:line="360" w:lineRule="exact"/>
        <w:ind w:firstLine="480"/>
        <w:wordWrap w:val="0"/>
        <w:keepLines w:val="1"/>
      </w:pPr>
      <w:r>
        <w:t>武汉市商务局公布假日餐饮消费券规则，龙虾券自9月24日起分批投放，可在美团、抖音领取，设满100元减20元等四档面额。消费券用于活动商家的含龙虾团购套餐，仅限武汉线下实体餐饮，不含外卖；须当日核销，资金用完可提前结束。</w:t>
      </w:r>
    </w:p>
    <w:p w14:paraId="75463394" w14:textId="77777777" w:rsidR="00741353" w:rsidRDefault="00AF0D74">
      <w:pPr>
        <w:keepNext/>
        <w:spacing w:line="360" w:lineRule="exact"/>
        <w:ind w:firstLine="480"/>
        <w:wordWrap w:val="0"/>
        <w:keepLines w:val="1"/>
      </w:pPr>
      <w:r>
        <w:t>参与门店应核对优惠叠加后的使用门槛、核销时限和退款规则，并测算套餐毛利。本条是此前消费季安排的具体落地进展；国际美食券预计10月中下旬发放，规则另行公告，不能将其写成已启动或将地方优惠外推至全国。</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Catering20260925E01">
        <w:r>
          <w:rPr>
            <w:rFonts w:ascii="宋体" w:eastAsia="宋体" w:hAnsi="宋体" w:cs="宋体"/>
            <w:color w:val="245D83"/>
            <w:sz w:val="19"/>
            <w:szCs w:val="19"/>
            <w:u w:val="single"/>
          </w:rPr>
          <w:t>武汉市商务局活动规则</w:t>
        </w:r>
      </w:hyperlink>
    </w:p>
    <w:p w14:paraId="48D7440C" w14:textId="77777777" w:rsidR="00741353" w:rsidRDefault="00AF0D74">
      <w:pPr>
        <w:pStyle w:val="21"/>
        <w:spacing w:before="140" w:line="380" w:lineRule="exact"/>
        <w:wordWrap w:val="0"/>
      </w:pPr>
      <w:r>
        <w:t>麦当劳中国以岗位技能赛强化一线人才培养</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中国内地｜9月23日企业发布全国总决赛消息，赛事7月启动</w:t>
      </w:r>
    </w:p>
    <w:p w14:paraId="75463394" w14:textId="77777777" w:rsidR="00741353" w:rsidRDefault="00AF0D74">
      <w:pPr>
        <w:keepNext/>
        <w:spacing w:line="360" w:lineRule="exact"/>
        <w:ind w:firstLine="480"/>
        <w:wordWrap w:val="0"/>
        <w:keepLines w:val="1"/>
      </w:pPr>
      <w:r>
        <w:t>麦当劳中国披露，2026年全明星大赛自7月16日启动，超过20万名餐厅员工参与，围绕汉堡制作、餐厅清洁、餐点汇集等七类岗位开展比拼；四类岗位的48位冠军进入上海全国总决赛。企业将比赛与日常岗位训练衔接，聚焦品质、服务和清洁。</w:t>
      </w:r>
    </w:p>
    <w:p w14:paraId="75463394" w14:textId="77777777" w:rsidR="00741353" w:rsidRDefault="00AF0D74">
      <w:pPr>
        <w:keepNext/>
        <w:spacing w:line="360" w:lineRule="exact"/>
        <w:ind w:firstLine="480"/>
        <w:wordWrap w:val="0"/>
        <w:keepLines w:val="1"/>
      </w:pPr>
      <w:r>
        <w:t>连锁餐饮可参考按岗位设置实操任务的培训方式，把清洁、出品和交接要求转为可观察的操作表现，再核查能否持续落实。参赛规模及培训做法来自企业披露，并非独立质量评价，也不能据此推导差错率下降或门店经营改善的幅度。</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Catering20260925E06">
        <w:r>
          <w:rPr>
            <w:rFonts w:ascii="宋体" w:eastAsia="宋体" w:hAnsi="宋体" w:cs="宋体"/>
            <w:color w:val="245D83"/>
            <w:sz w:val="19"/>
            <w:szCs w:val="19"/>
            <w:u w:val="single"/>
          </w:rPr>
          <w:t>麦当劳中国发布稿（美通社）</w:t>
        </w:r>
      </w:hyperlink>
    </w:p>
    <w:p w14:paraId="7A6D2953" w14:textId="77777777" w:rsidR="00741353" w:rsidRDefault="00AF0D74">
      <w:pPr>
        <w:pStyle w:val="1"/>
        <w:spacing w:before="200" w:line="440" w:lineRule="exact"/>
        <w:wordWrap w:val="0"/>
        <w:pageBreakBefore w:val="0"/>
      </w:pPr>
      <w:r>
        <w:t>二、政府监管与食品安全</w:t>
      </w:r>
    </w:p>
    <w:p w14:paraId="48D7440C" w14:textId="77777777" w:rsidR="00741353" w:rsidRDefault="00AF0D74">
      <w:pPr>
        <w:pStyle w:val="21"/>
        <w:spacing w:before="140" w:line="380" w:lineRule="exact"/>
        <w:wordWrap w:val="0"/>
      </w:pPr>
      <w:r>
        <w:t>国务院食安办部署双节餐饮食品安全监管</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中国内地｜9月18日19:00公开，纳入本期16:30之后的窗口</w:t>
      </w:r>
    </w:p>
    <w:p w14:paraId="75463394" w14:textId="77777777" w:rsidR="00741353" w:rsidRDefault="00AF0D74">
      <w:pPr>
        <w:keepNext/>
        <w:spacing w:line="360" w:lineRule="exact"/>
        <w:ind w:firstLine="480"/>
        <w:wordWrap w:val="0"/>
        <w:keepLines w:val="1"/>
      </w:pPr>
      <w:r>
        <w:t>国务院食安办部署中秋、国庆期间食品安全工作，要求关注景区、服务区和商业综合体，以及宴会中心、连锁餐饮、学校和养老机构食堂。餐饮环节突出冷荤凉菜、生食海产品、冷加工糕点等风险食品，并检查原料采购、食品添加剂使用、餐饮具消毒及人员健康管理。</w:t>
      </w:r>
    </w:p>
    <w:p w14:paraId="75463394" w14:textId="77777777" w:rsidR="00741353" w:rsidRDefault="00AF0D74">
      <w:pPr>
        <w:keepNext/>
        <w:spacing w:line="360" w:lineRule="exact"/>
        <w:ind w:firstLine="480"/>
        <w:wordWrap w:val="0"/>
        <w:keepLines w:val="1"/>
      </w:pPr>
      <w:r>
        <w:t>节前自查可优先覆盖客流增加时容易失控的凉菜制作、生熟分隔和清洗消毒环节，并检查外卖经营资质与实际加工场所的一致性。本条为节日监管部署，不是新增食品安全限量标准；门店仍需按实际经营项目执行既有适用要求。</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Catering20260925E02">
        <w:r>
          <w:rPr>
            <w:rFonts w:ascii="宋体" w:eastAsia="宋体" w:hAnsi="宋体" w:cs="宋体"/>
            <w:color w:val="245D83"/>
            <w:sz w:val="19"/>
            <w:szCs w:val="19"/>
            <w:u w:val="single"/>
          </w:rPr>
          <w:t>市场监管总局公开部署</w:t>
        </w:r>
      </w:hyperlink>
    </w:p>
    <w:p w14:paraId="48D7440C" w14:textId="77777777" w:rsidR="00741353" w:rsidRDefault="00AF0D74">
      <w:pPr>
        <w:pStyle w:val="21"/>
        <w:spacing w:before="140" w:line="380" w:lineRule="exact"/>
        <w:wordWrap w:val="0"/>
      </w:pPr>
      <w:r>
        <w:t>江苏抽检披露煎炸用油极性组分等餐饮问题</w:t>
      </w:r>
    </w:p>
    <w:p w14:paraId="055A539C" w14:textId="77777777" w:rsidR="00741353" w:rsidRDefault="00AF0D74">
      <w:pPr>
        <w:keepNext/>
        <w:spacing w:line="290" w:lineRule="exact"/>
        <w:wordWrap w:val="0"/>
      </w:pPr>
      <w:r>
        <w:rPr>
          <w:rFonts w:ascii="宋体" w:eastAsia="宋体" w:hAnsi="宋体" w:cs="宋体"/>
          <w:color w:val="555555"/>
          <w:sz w:val="19"/>
          <w:szCs w:val="19"/>
        </w:rPr>
        <w:t>中国江苏｜9月22日发布第8号通告，抽检样品日期早于本周</w:t>
      </w:r>
    </w:p>
    <w:p w14:paraId="75463394" w14:textId="77777777" w:rsidR="00741353" w:rsidRDefault="00AF0D74">
      <w:pPr>
        <w:keepNext/>
        <w:spacing w:line="360" w:lineRule="exact"/>
        <w:ind w:firstLine="480"/>
        <w:wordWrap w:val="0"/>
        <w:keepLines w:val="1"/>
      </w:pPr>
      <w:r>
        <w:t>江苏省市场监管局公布1884批次食品抽检结果，其中17批次不合格。附件列明，一家餐饮店的煎炸过程用油极性组分为36.5%，超过该项目标准值27%；另一小吃店自制凉拌海蜇的铝残留量为540毫克/千克，超过对应标准值500毫克/千克。</w:t>
      </w:r>
    </w:p>
    <w:p w14:paraId="75463394" w14:textId="77777777" w:rsidR="00741353" w:rsidRDefault="00AF0D74">
      <w:pPr>
        <w:keepNext/>
        <w:spacing w:line="360" w:lineRule="exact"/>
        <w:ind w:firstLine="480"/>
        <w:wordWrap w:val="0"/>
        <w:keepLines w:val="1"/>
      </w:pPr>
      <w:r>
        <w:t>门店可复核炸油使用与更换记录、监测方法及异常处置，并核查凉拌海蜇原料及加工环节的铝残留控制。本条仅涉及公告所列样品，不能把17批次全部计为餐饮问题，亦不能以该批抽检直接估算餐饮行业不合格率。</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Catering20260925E10">
        <w:r>
          <w:rPr>
            <w:rFonts w:ascii="宋体" w:eastAsia="宋体" w:hAnsi="宋体" w:cs="宋体"/>
            <w:color w:val="245D83"/>
            <w:sz w:val="19"/>
            <w:szCs w:val="19"/>
            <w:u w:val="single"/>
          </w:rPr>
          <w:t>江苏省市场监管局通告及不合格附件</w:t>
        </w:r>
      </w:hyperlink>
    </w:p>
    <w:p w14:paraId="7A6D2953" w14:textId="77777777" w:rsidR="00741353" w:rsidRDefault="00AF0D74">
      <w:pPr>
        <w:pStyle w:val="1"/>
        <w:spacing w:before="200" w:line="440" w:lineRule="exact"/>
        <w:wordWrap w:val="0"/>
        <w:pageBreakBefore w:val="0"/>
      </w:pPr>
      <w:r>
        <w:t>三、供应链管理</w:t>
      </w:r>
    </w:p>
    <w:p w14:paraId="48D7440C" w14:textId="77777777" w:rsidR="00741353" w:rsidRDefault="00AF0D74">
      <w:pPr>
        <w:pStyle w:val="21"/>
        <w:spacing w:before="140" w:line="380" w:lineRule="exact"/>
        <w:wordWrap w:val="0"/>
      </w:pPr>
      <w:r>
        <w:t>食用农产品批发价格小幅回落鸡蛋价格上涨</w:t>
      </w:r>
    </w:p>
    <w:p w14:paraId="055A539C" w14:textId="77777777" w:rsidR="00741353" w:rsidRDefault="00AF0D74">
      <w:pPr>
        <w:keepNext/>
        <w:spacing w:line="290" w:lineRule="exact"/>
        <w:wordWrap w:val="0"/>
      </w:pPr>
      <w:r>
        <w:rPr>
          <w:rFonts w:ascii="宋体" w:eastAsia="宋体" w:hAnsi="宋体" w:cs="宋体"/>
          <w:color w:val="555555"/>
          <w:sz w:val="19"/>
          <w:szCs w:val="19"/>
        </w:rPr>
        <w:t>中国内地｜9月24日发布，统计期为9月14日至20日</w:t>
      </w:r>
    </w:p>
    <w:p w14:paraId="75463394" w14:textId="77777777" w:rsidR="00741353" w:rsidRDefault="00AF0D74">
      <w:pPr>
        <w:keepNext/>
        <w:spacing w:line="360" w:lineRule="exact"/>
        <w:ind w:firstLine="480"/>
        <w:wordWrap w:val="0"/>
        <w:keepLines w:val="1"/>
      </w:pPr>
      <w:r>
        <w:t>商务部监测显示，9月14日至20日全国食用农产品市场价格较前一周下降0.2%。30种蔬菜平均批发价为每公斤4.28元，下降0.2%；猪肉每公斤17.19元，下降1.7%；鸡蛋批发价格上涨1.6%，白条鸡下降0.2%。主要品类价格走势并不一致。</w:t>
      </w:r>
    </w:p>
    <w:p w14:paraId="75463394" w14:textId="77777777" w:rsidR="00741353" w:rsidRDefault="00AF0D74">
      <w:pPr>
        <w:keepNext/>
        <w:spacing w:line="360" w:lineRule="exact"/>
        <w:ind w:firstLine="480"/>
        <w:wordWrap w:val="0"/>
        <w:keepLines w:val="1"/>
      </w:pPr>
      <w:r>
        <w:t>采购部门可按门店实际采购品类复核供应商报价，对鸡蛋等上涨品类单独跟踪，避免仅根据综合指数统一调整预算。上述为全国批发市场监测结果，不是9月25日即时价格，也不等同于某一城市、规格或餐饮企业的到货结算价格。</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Catering20260925E04">
        <w:r>
          <w:rPr>
            <w:rFonts w:ascii="宋体" w:eastAsia="宋体" w:hAnsi="宋体" w:cs="宋体"/>
            <w:color w:val="245D83"/>
            <w:sz w:val="19"/>
            <w:szCs w:val="19"/>
            <w:u w:val="single"/>
          </w:rPr>
          <w:t>商务部市场运行和消费促进司周度监测</w:t>
        </w:r>
      </w:hyperlink>
    </w:p>
    <w:p w14:paraId="7A6D2953" w14:textId="77777777" w:rsidR="00741353" w:rsidRDefault="00AF0D74">
      <w:pPr>
        <w:pStyle w:val="1"/>
        <w:spacing w:before="200" w:line="440" w:lineRule="exact"/>
        <w:wordWrap w:val="0"/>
        <w:pageBreakBefore w:val="0"/>
      </w:pPr>
      <w:r>
        <w:t>四、门店运营与技术创新</w:t>
      </w:r>
    </w:p>
    <w:p w14:paraId="48D7440C" w14:textId="77777777" w:rsidR="00741353" w:rsidRDefault="00AF0D74">
      <w:pPr>
        <w:pStyle w:val="21"/>
        <w:spacing w:before="140" w:line="380" w:lineRule="exact"/>
        <w:wordWrap w:val="0"/>
      </w:pPr>
      <w:r>
        <w:t>苏州相城机关食堂智能化设备采购公布中标结果</w:t>
      </w:r>
    </w:p>
    <w:p w14:paraId="055A539C" w14:textId="77777777" w:rsidR="00741353" w:rsidRDefault="00AF0D74">
      <w:pPr>
        <w:keepNext/>
        <w:spacing w:line="290" w:lineRule="exact"/>
        <w:wordWrap w:val="0"/>
      </w:pPr>
      <w:r>
        <w:rPr>
          <w:rFonts w:ascii="宋体" w:eastAsia="宋体" w:hAnsi="宋体" w:cs="宋体"/>
          <w:color w:val="555555"/>
          <w:sz w:val="19"/>
          <w:szCs w:val="19"/>
        </w:rPr>
        <w:t>中国江苏苏州｜9月23日公布中标结果，非竣工验收节点</w:t>
      </w:r>
    </w:p>
    <w:p w14:paraId="75463394" w14:textId="77777777" w:rsidR="00741353" w:rsidRDefault="00AF0D74">
      <w:pPr>
        <w:keepNext/>
        <w:spacing w:line="360" w:lineRule="exact"/>
        <w:ind w:firstLine="480"/>
        <w:wordWrap w:val="0"/>
        <w:keepLines w:val="1"/>
      </w:pPr>
      <w:r>
        <w:t>苏州市政府采购网公布相城区机关食堂修缮和智能化改造设备采购及安装项目中标结果，金额为1399999元，约140万元。主要标的包括1套智慧餐饮云平台、10套无感出品备餐台热五斗、2套出品控制台和6套多媒体结算台。</w:t>
      </w:r>
    </w:p>
    <w:p w14:paraId="75463394" w14:textId="77777777" w:rsidR="00741353" w:rsidRDefault="00AF0D74">
      <w:pPr>
        <w:keepNext/>
        <w:spacing w:line="360" w:lineRule="exact"/>
        <w:ind w:firstLine="480"/>
        <w:wordWrap w:val="0"/>
        <w:keepLines w:val="1"/>
      </w:pPr>
      <w:r>
        <w:t>团餐运营方可据此观察出品、备餐与结算的系统衔接需求，在采购前明确菜品编码、交易核对、断网处理及现场验收场景。中标公告仅证明采购结果，不能表述为设备已投入使用，也未提供可验证的节约人工、降低损耗或改善食品安全数据。</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Catering20260925E05">
        <w:r>
          <w:rPr>
            <w:rFonts w:ascii="宋体" w:eastAsia="宋体" w:hAnsi="宋体" w:cs="宋体"/>
            <w:color w:val="245D83"/>
            <w:sz w:val="19"/>
            <w:szCs w:val="19"/>
            <w:u w:val="single"/>
          </w:rPr>
          <w:t>苏州市政府采购网中标公告</w:t>
        </w:r>
      </w:hyperlink>
    </w:p>
    <w:p w14:paraId="7A6D2953" w14:textId="77777777" w:rsidR="00741353" w:rsidRDefault="00AF0D74">
      <w:pPr>
        <w:pStyle w:val="1"/>
        <w:spacing w:before="200" w:line="440" w:lineRule="exact"/>
        <w:wordWrap w:val="0"/>
        <w:pageBreakBefore w:val="0"/>
      </w:pPr>
      <w:r>
        <w:t>五、可持续发展与绿色运营</w:t>
      </w:r>
    </w:p>
    <w:p w14:paraId="48D7440C" w14:textId="77777777" w:rsidR="00741353" w:rsidRDefault="00AF0D74">
      <w:pPr>
        <w:pStyle w:val="21"/>
        <w:spacing w:before="140" w:line="380" w:lineRule="exact"/>
        <w:wordWrap w:val="0"/>
      </w:pPr>
      <w:r>
        <w:t>湖南反浪费案例强调门店标识与主动点餐提醒</w:t>
      </w:r>
    </w:p>
    <w:p w14:paraId="055A539C" w14:textId="77777777" w:rsidR="00741353" w:rsidRDefault="00AF0D74">
      <w:pPr>
        <w:keepNext/>
        <w:spacing w:line="290" w:lineRule="exact"/>
        <w:wordWrap w:val="0"/>
      </w:pPr>
      <w:r>
        <w:rPr>
          <w:rFonts w:ascii="宋体" w:eastAsia="宋体" w:hAnsi="宋体" w:cs="宋体"/>
          <w:color w:val="555555"/>
          <w:sz w:val="19"/>
          <w:szCs w:val="19"/>
        </w:rPr>
        <w:t>中国湖南｜9月21日发布首批案例，相关检查发生于3月至8月</w:t>
      </w:r>
    </w:p>
    <w:p w14:paraId="75463394" w14:textId="77777777" w:rsidR="00741353" w:rsidRDefault="00AF0D74">
      <w:pPr>
        <w:keepNext/>
        <w:spacing w:line="360" w:lineRule="exact"/>
        <w:ind w:firstLine="480"/>
        <w:wordWrap w:val="0"/>
        <w:keepLines w:val="1"/>
      </w:pPr>
      <w:r>
        <w:t>湖南省市场监管局公布2026年第一批制止餐饮浪费典型案例，五起均涉及经营场所未在醒目位置设置反食品浪费标识、未主动提示消费者适量点餐。相关部门责令改正并作出警告处罚，涵盖餐饮店、餐饮管理企业和面馆等经营主体。</w:t>
      </w:r>
    </w:p>
    <w:p w14:paraId="75463394" w14:textId="77777777" w:rsidR="00741353" w:rsidRDefault="00AF0D74">
      <w:pPr>
        <w:keepNext/>
        <w:spacing w:line="360" w:lineRule="exact"/>
        <w:ind w:firstLine="480"/>
        <w:wordWrap w:val="0"/>
        <w:keepLines w:val="1"/>
      </w:pPr>
      <w:r>
        <w:t>门店应把入口或点餐区标识与服务人员的实际提示一并检查，结合菜量说明、适量点餐和剩餐打包落实日常管理。案例公开与违法行为发生时间不同；本期不能写成五起问题均在本周发生，也不能将警告处罚扩大解读为统一罚款措施。</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Catering20260925E07">
        <w:r>
          <w:rPr>
            <w:rFonts w:ascii="宋体" w:eastAsia="宋体" w:hAnsi="宋体" w:cs="宋体"/>
            <w:color w:val="245D83"/>
            <w:sz w:val="19"/>
            <w:szCs w:val="19"/>
            <w:u w:val="single"/>
          </w:rPr>
          <w:t>湖南省市场监管局典型案例</w:t>
        </w:r>
      </w:hyperlink>
    </w:p>
    <w:p w14:paraId="7A6D2953" w14:textId="77777777" w:rsidR="00741353" w:rsidRDefault="00AF0D74">
      <w:pPr>
        <w:pStyle w:val="1"/>
        <w:spacing w:before="200" w:line="440" w:lineRule="exact"/>
        <w:wordWrap w:val="0"/>
        <w:pageBreakBefore w:val="0"/>
      </w:pPr>
      <w:r>
        <w:t>六、海外餐饮动态</w:t>
      </w:r>
    </w:p>
    <w:p w14:paraId="48D7440C" w14:textId="77777777" w:rsidR="00741353" w:rsidRDefault="00AF0D74">
      <w:pPr>
        <w:pStyle w:val="21"/>
        <w:spacing w:before="140" w:line="380" w:lineRule="exact"/>
        <w:wordWrap w:val="0"/>
      </w:pPr>
      <w:r>
        <w:t>Waitrose燕麦饮因温控问题召回关注采购日期范围</w:t>
      </w:r>
    </w:p>
    <w:p w14:paraId="055A539C" w14:textId="77777777" w:rsidR="00741353" w:rsidRDefault="00AF0D74">
      <w:pPr>
        <w:keepNext/>
        <w:spacing w:line="290" w:lineRule="exact"/>
        <w:wordWrap w:val="0"/>
      </w:pPr>
      <w:r>
        <w:rPr>
          <w:rFonts w:ascii="宋体" w:eastAsia="宋体" w:hAnsi="宋体" w:cs="宋体"/>
          <w:color w:val="555555"/>
          <w:sz w:val="19"/>
          <w:szCs w:val="19"/>
        </w:rPr>
        <w:t>英国及泽西相关市场｜9月22日召回，涉及此前购买的指定产品</w:t>
      </w:r>
    </w:p>
    <w:p w14:paraId="75463394" w14:textId="77777777" w:rsidR="00741353" w:rsidRDefault="00AF0D74">
      <w:pPr>
        <w:keepNext/>
        <w:spacing w:line="360" w:lineRule="exact"/>
        <w:ind w:firstLine="480"/>
        <w:wordWrap w:val="0"/>
        <w:keepLines w:val="1"/>
      </w:pPr>
      <w:r>
        <w:t>泽西政府发布Waitrose Essential无糖燕麦饮召回信息，温控不当可能带来微生物污染和变质风险。产品为1升装，最佳食用日期在2026年8月14日至10月29日；公告所附企业通知进一步限定为9月2日至21日在Waitrose门店或即时配送渠道购买的相关产品。</w:t>
      </w:r>
    </w:p>
    <w:p w14:paraId="75463394" w14:textId="77777777" w:rsidR="00741353" w:rsidRDefault="00AF0D74">
      <w:pPr>
        <w:keepNext/>
        <w:spacing w:line="360" w:lineRule="exact"/>
        <w:ind w:firstLine="480"/>
        <w:wordWrap w:val="0"/>
        <w:keepLines w:val="1"/>
      </w:pPr>
      <w:r>
        <w:t>涉及当地供应链的咖啡店及餐饮采购方，应同时核对品牌、规格、日期标示和购买记录，不再使用符合召回条件的产品。公告没有指明具体致病菌，也未证实产品进入中国市场；不能仅因同属燕麦饮，就把召回范围扩展至其他品牌或国内产品。</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Catering20260925E08">
        <w:r>
          <w:rPr>
            <w:rFonts w:ascii="宋体" w:eastAsia="宋体" w:hAnsi="宋体" w:cs="宋体"/>
            <w:color w:val="245D83"/>
            <w:sz w:val="19"/>
            <w:szCs w:val="19"/>
            <w:u w:val="single"/>
          </w:rPr>
          <w:t>泽西政府召回页及所附企业通知</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0"/>
      </w:pPr>
      <w:r>
        <w:rPr>
          <w:sz w:val="21"/>
          <w:szCs w:val="21"/>
        </w:rPr>
        <w:t>本期按北京时间9月18日16:30之后至9月25日16:30（含）的公开节点选编，事件与统计期另行标明。仅供内部测试及信息参考，不代表全面收录；部分监测入口访问受限，未据此判定无更新。具体应用请核对原文及经营条件，本期不构成合规批准、采购或召回决定。</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宋体" w:eastAsia="宋体" w:hAnsi="宋体" w:cs="宋体"/>
        <w:color w:val="555555"/>
        <w:sz w:val="17"/>
        <w:szCs w:val="17"/>
      </w:rPr>
      <w:t xml:space="preserve">餐饮行业资讯周报（内部测试版）  第 </w:t>
    </w:r>
    <w:r w:rsidR="00071710">
      <w:rPr>
        <w:rFonts w:ascii="宋体" w:eastAsia="宋体" w:hAnsi="宋体" w:cs="宋体"/>
        <w:color w:val="555555"/>
        <w:sz w:val="17"/>
        <w:szCs w:val="17"/>
      </w:rPr>
      <w:fldChar w:fldCharType="begin"/>
    </w:r>
    <w:r w:rsidR="00071710">
      <w:rPr>
        <w:rFonts w:ascii="宋体" w:eastAsia="宋体" w:hAnsi="宋体" w:cs="宋体"/>
        <w:color w:val="555555"/>
        <w:sz w:val="17"/>
        <w:szCs w:val="17"/>
      </w:rPr>
      <w:instrText>PAGE</w:instrText>
    </w:r>
    <w:r w:rsidR="00071710">
      <w:rPr>
        <w:rFonts w:ascii="宋体" w:eastAsia="宋体" w:hAnsi="宋体" w:cs="宋体"/>
        <w:color w:val="555555"/>
        <w:sz w:val="17"/>
        <w:szCs w:val="17"/>
      </w:rPr>
      <w:fldChar w:fldCharType="separate"/>
    </w:r>
    <w:r w:rsidR="00144C9B">
      <w:rPr>
        <w:rFonts w:ascii="宋体" w:eastAsia="宋体" w:hAnsi="宋体" w:cs="宋体"/>
        <w:noProof/>
        <w:color w:val="555555"/>
        <w:sz w:val="17"/>
        <w:szCs w:val="17"/>
      </w:rPr>
      <w:t>1</w:t>
    </w:r>
    <w:r w:rsidR="00071710">
      <w:rPr>
        <w:rFonts w:ascii="宋体" w:eastAsia="宋体" w:hAnsi="宋体" w:cs="宋体"/>
        <w:color w:val="555555"/>
        <w:sz w:val="17"/>
        <w:szCs w:val="17"/>
      </w:rPr>
      <w:fldChar w:fldCharType="end"/>
    </w:r>
    <w:r>
      <w:rPr>
        <w:rFonts w:ascii="宋体" w:eastAsia="宋体" w:hAnsi="宋体" w:cs="宋体"/>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宋体" w:eastAsia="宋体" w:hAnsi="宋体" w:cs="宋体"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宋体" w:eastAsia="宋体" w:hAnsi="宋体" w:cs="宋体"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宋体" w:eastAsia="宋体" w:hAnsi="宋体" w:cs="宋体"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宋体" w:eastAsia="宋体" w:hAnsi="宋体" w:cs="宋体"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val="1"/>
  <w:hideGrammaticalErrors w:val="1"/>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saveSubsetFonts w:val="false"/>
  <w:embedTrueTypeFonts w:val="false"/>
  <w:embedSystem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黑体" w:eastAsia="黑体" w:hAnsi="黑体" w:cs="黑体"/>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黑体" w:eastAsia="黑体" w:hAnsi="黑体" w:cs="黑体"/>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黑体" w:eastAsia="黑体" w:hAnsi="黑体" w:cs="黑体"/>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黑体" w:eastAsia="黑体" w:hAnsi="黑体" w:cs="黑体"/>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宋体" w:eastAsia="宋体" w:hAnsi="宋体" w:cs="宋体"/>
    </w:rPr>
  </w:style>
  <w:style w:type="paragraph" w:styleId="6">
    <w:name w:val="heading 6"/>
    <w:basedOn w:val="a1"/>
    <w:next w:val="a1"/>
    <w:link w:val="60"/>
    <w:uiPriority w:val="9"/>
    <w:semiHidden/>
    <w:unhideWhenUsed/>
    <w:qFormat/>
    <w:rsid w:val="00FC693F"/>
    <w:pPr>
      <w:keepNext/>
      <w:keepLines/>
      <w:spacing w:before="200" w:after="0"/>
      <w:outlineLvl w:val="5"/>
    </w:pPr>
    <w:rPr>
      <w:rFonts w:ascii="宋体" w:eastAsia="宋体" w:hAnsi="宋体" w:cs="宋体"/>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宋体" w:eastAsia="宋体" w:hAnsi="宋体" w:cs="宋体"/>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宋体" w:eastAsia="宋体" w:hAnsi="宋体" w:cs="宋体"/>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宋体" w:eastAsia="宋体" w:hAnsi="宋体" w:cs="宋体"/>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宋体" w:eastAsia="宋体" w:hAnsi="宋体" w:cs="宋体"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宋体" w:eastAsia="宋体" w:hAnsi="宋体" w:cs="宋体"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黑体" w:eastAsia="黑体" w:hAnsi="黑体" w:cs="黑体" w:hint="eastAsia"/>
      <w:b/>
      <w:bCs/>
      <w:i w:val="0"/>
      <w:color w:val="000000"/>
      <w:sz w:val="28"/>
      <w:szCs w:val="28"/>
      <w:lang w:val="zh-CN" w:eastAsia="zh-CN"/>
    </w:rPr>
  </w:style>
  <w:style w:type="character" w:customStyle="1" w:styleId="22">
    <w:name w:val="标题 2 字符"/>
    <w:basedOn w:val="a2"/>
    <w:link w:val="21"/>
    <w:uiPriority w:val="9"/>
    <w:rsid w:val="00FC693F"/>
    <w:rPr>
      <w:rFonts w:ascii="黑体" w:eastAsia="黑体" w:hAnsi="黑体" w:cs="黑体" w:hint="eastAsia"/>
      <w:b/>
      <w:bCs/>
      <w:i w:val="0"/>
      <w:color w:val="000000"/>
      <w:sz w:val="26"/>
      <w:szCs w:val="26"/>
      <w:lang w:val="zh-CN" w:eastAsia="zh-CN"/>
    </w:rPr>
  </w:style>
  <w:style w:type="character" w:customStyle="1" w:styleId="32">
    <w:name w:val="标题 3 字符"/>
    <w:basedOn w:val="a2"/>
    <w:link w:val="31"/>
    <w:uiPriority w:val="9"/>
    <w:rsid w:val="00FC693F"/>
    <w:rPr>
      <w:rFonts w:ascii="黑体" w:eastAsia="黑体" w:hAnsi="黑体" w:cs="黑体"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黑体" w:eastAsia="黑体" w:hAnsi="黑体" w:cs="黑体"/>
      <w:b/>
      <w:bCs/>
      <w:sz w:val="46"/>
      <w:szCs w:val="46"/>
    </w:rPr>
  </w:style>
  <w:style w:type="character" w:customStyle="1" w:styleId="ab">
    <w:name w:val="标题 字符"/>
    <w:basedOn w:val="a2"/>
    <w:link w:val="aa"/>
    <w:uiPriority w:val="10"/>
    <w:rsid w:val="00FC693F"/>
    <w:rPr>
      <w:rFonts w:ascii="宋体" w:eastAsia="宋体" w:hAnsi="宋体" w:cs="宋体"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宋体" w:eastAsia="宋体" w:hAnsi="宋体" w:cs="宋体"/>
      <w:iCs/>
      <w:sz w:val="22"/>
      <w:szCs w:val="22"/>
    </w:rPr>
  </w:style>
  <w:style w:type="character" w:customStyle="1" w:styleId="ad">
    <w:name w:val="副标题 字符"/>
    <w:basedOn w:val="a2"/>
    <w:link w:val="ac"/>
    <w:uiPriority w:val="11"/>
    <w:rsid w:val="00FC693F"/>
    <w:rPr>
      <w:rFonts w:ascii="宋体" w:eastAsia="宋体" w:hAnsi="宋体" w:cs="宋体"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宋体" w:eastAsia="宋体" w:hAnsi="宋体" w:cs="宋体"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宋体" w:eastAsia="宋体" w:hAnsi="宋体" w:cs="宋体"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宋体" w:eastAsia="宋体" w:hAnsi="宋体" w:cs="宋体"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宋体" w:eastAsia="宋体" w:hAnsi="宋体" w:cs="宋体"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宋体" w:eastAsia="宋体" w:hAnsi="宋体" w:cs="宋体" w:hint="eastAsia"/>
      <w:i w:val="0"/>
      <w:iCs/>
      <w:color w:val="000000"/>
      <w:lang w:val="zh-CN" w:eastAsia="zh-CN"/>
    </w:rPr>
  </w:style>
  <w:style w:type="character" w:customStyle="1" w:styleId="40">
    <w:name w:val="标题 4 字符"/>
    <w:basedOn w:val="a2"/>
    <w:link w:val="4"/>
    <w:uiPriority w:val="9"/>
    <w:semiHidden/>
    <w:rsid w:val="00FC693F"/>
    <w:rPr>
      <w:rFonts w:ascii="黑体" w:eastAsia="黑体" w:hAnsi="黑体" w:cs="黑体" w:hint="eastAsia"/>
      <w:b/>
      <w:bCs/>
      <w:i w:val="0"/>
      <w:iCs/>
      <w:color w:val="000000"/>
      <w:lang w:val="zh-CN" w:eastAsia="zh-CN"/>
    </w:rPr>
  </w:style>
  <w:style w:type="character" w:customStyle="1" w:styleId="50">
    <w:name w:val="标题 5 字符"/>
    <w:basedOn w:val="a2"/>
    <w:link w:val="5"/>
    <w:uiPriority w:val="9"/>
    <w:semiHidden/>
    <w:rsid w:val="00FC693F"/>
    <w:rPr>
      <w:rFonts w:ascii="宋体" w:eastAsia="宋体" w:hAnsi="宋体" w:cs="宋体" w:hint="eastAsia"/>
      <w:i w:val="0"/>
      <w:color w:val="000000"/>
      <w:lang w:val="zh-CN" w:eastAsia="zh-CN"/>
    </w:rPr>
  </w:style>
  <w:style w:type="character" w:customStyle="1" w:styleId="60">
    <w:name w:val="标题 6 字符"/>
    <w:basedOn w:val="a2"/>
    <w:link w:val="6"/>
    <w:uiPriority w:val="9"/>
    <w:semiHidden/>
    <w:rsid w:val="00FC693F"/>
    <w:rPr>
      <w:rFonts w:ascii="宋体" w:eastAsia="宋体" w:hAnsi="宋体" w:cs="宋体" w:hint="eastAsia"/>
      <w:i w:val="0"/>
      <w:iCs/>
      <w:color w:val="000000"/>
      <w:lang w:val="zh-CN" w:eastAsia="zh-CN"/>
    </w:rPr>
  </w:style>
  <w:style w:type="character" w:customStyle="1" w:styleId="70">
    <w:name w:val="标题 7 字符"/>
    <w:basedOn w:val="a2"/>
    <w:link w:val="7"/>
    <w:uiPriority w:val="9"/>
    <w:semiHidden/>
    <w:rsid w:val="00FC693F"/>
    <w:rPr>
      <w:rFonts w:ascii="宋体" w:eastAsia="宋体" w:hAnsi="宋体" w:cs="宋体" w:hint="eastAsia"/>
      <w:i w:val="0"/>
      <w:iCs/>
      <w:color w:val="000000"/>
      <w:lang w:val="zh-CN" w:eastAsia="zh-CN"/>
    </w:rPr>
  </w:style>
  <w:style w:type="character" w:customStyle="1" w:styleId="80">
    <w:name w:val="标题 8 字符"/>
    <w:basedOn w:val="a2"/>
    <w:link w:val="8"/>
    <w:uiPriority w:val="9"/>
    <w:semiHidden/>
    <w:rsid w:val="00FC693F"/>
    <w:rPr>
      <w:rFonts w:ascii="宋体" w:eastAsia="宋体" w:hAnsi="宋体" w:cs="宋体" w:hint="eastAsia"/>
      <w:i w:val="0"/>
      <w:color w:val="000000"/>
      <w:sz w:val="20"/>
      <w:szCs w:val="20"/>
      <w:lang w:val="zh-CN" w:eastAsia="zh-CN"/>
    </w:rPr>
  </w:style>
  <w:style w:type="character" w:customStyle="1" w:styleId="90">
    <w:name w:val="标题 9 字符"/>
    <w:basedOn w:val="a2"/>
    <w:link w:val="9"/>
    <w:uiPriority w:val="9"/>
    <w:semiHidden/>
    <w:rsid w:val="00FC693F"/>
    <w:rPr>
      <w:rFonts w:ascii="宋体" w:eastAsia="宋体" w:hAnsi="宋体" w:cs="宋体"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黑体" w:eastAsia="黑体" w:hAnsi="黑体" w:cs="黑体" w:hint="eastAsia"/>
      <w:b/>
      <w:bCs/>
      <w:i w:val="0"/>
      <w:color w:val="000000"/>
      <w:lang w:val="zh-CN" w:eastAsia="zh-CN"/>
    </w:rPr>
  </w:style>
  <w:style w:type="character" w:styleId="af9">
    <w:name w:val="Emphasis"/>
    <w:basedOn w:val="a2"/>
    <w:uiPriority w:val="20"/>
    <w:qFormat/>
    <w:rsid w:val="00FC693F"/>
    <w:rPr>
      <w:rFonts w:ascii="宋体" w:eastAsia="宋体" w:hAnsi="宋体" w:cs="宋体"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黑体" w:eastAsia="黑体" w:hAnsi="黑体" w:cs="黑体" w:hint="eastAsia"/>
      <w:b/>
      <w:bCs/>
      <w:i w:val="0"/>
      <w:iCs/>
      <w:color w:val="000000"/>
      <w:lang w:val="zh-CN" w:eastAsia="zh-CN"/>
    </w:rPr>
  </w:style>
  <w:style w:type="character" w:styleId="afc">
    <w:name w:val="Subtle Emphasis"/>
    <w:basedOn w:val="a2"/>
    <w:uiPriority w:val="19"/>
    <w:qFormat/>
    <w:rsid w:val="00FC693F"/>
    <w:rPr>
      <w:rFonts w:ascii="宋体" w:eastAsia="宋体" w:hAnsi="宋体" w:cs="宋体" w:hint="eastAsia"/>
      <w:i w:val="0"/>
      <w:iCs/>
      <w:color w:val="000000"/>
      <w:lang w:val="zh-CN" w:eastAsia="zh-CN"/>
    </w:rPr>
  </w:style>
  <w:style w:type="character" w:styleId="afd">
    <w:name w:val="Intense Emphasis"/>
    <w:basedOn w:val="a2"/>
    <w:uiPriority w:val="21"/>
    <w:qFormat/>
    <w:rsid w:val="00FC693F"/>
    <w:rPr>
      <w:rFonts w:ascii="黑体" w:eastAsia="黑体" w:hAnsi="黑体" w:cs="黑体" w:hint="eastAsia"/>
      <w:b/>
      <w:bCs/>
      <w:i w:val="0"/>
      <w:iCs/>
      <w:color w:val="000000"/>
      <w:lang w:val="zh-CN" w:eastAsia="zh-CN"/>
    </w:rPr>
  </w:style>
  <w:style w:type="character" w:styleId="afe">
    <w:name w:val="Subtle Reference"/>
    <w:basedOn w:val="a2"/>
    <w:uiPriority w:val="31"/>
    <w:qFormat/>
    <w:rsid w:val="00FC693F"/>
    <w:rPr>
      <w:rFonts w:ascii="宋体" w:eastAsia="宋体" w:hAnsi="宋体" w:cs="宋体" w:hint="eastAsia"/>
      <w:i w:val="0"/>
      <w:smallCaps/>
      <w:color w:val="000000"/>
      <w:u w:val="single"/>
      <w:lang w:val="zh-CN" w:eastAsia="zh-CN"/>
    </w:rPr>
  </w:style>
  <w:style w:type="character" w:styleId="aff">
    <w:name w:val="Intense Reference"/>
    <w:basedOn w:val="a2"/>
    <w:uiPriority w:val="32"/>
    <w:qFormat/>
    <w:rsid w:val="00FC693F"/>
    <w:rPr>
      <w:rFonts w:ascii="黑体" w:eastAsia="黑体" w:hAnsi="黑体" w:cs="黑体" w:hint="eastAsia"/>
      <w:b/>
      <w:bCs/>
      <w:i w:val="0"/>
      <w:smallCaps/>
      <w:color w:val="000000"/>
      <w:u w:val="single"/>
      <w:lang w:val="zh-CN" w:eastAsia="zh-CN"/>
    </w:rPr>
  </w:style>
  <w:style w:type="character" w:styleId="aff0">
    <w:name w:val="Book Title"/>
    <w:basedOn w:val="a2"/>
    <w:uiPriority w:val="33"/>
    <w:qFormat/>
    <w:rsid w:val="00FC693F"/>
    <w:rPr>
      <w:rFonts w:ascii="黑体" w:eastAsia="黑体" w:hAnsi="黑体" w:cs="黑体"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宋体" w:eastAsia="宋体" w:hAnsi="宋体" w:cs="宋体"/>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黑体" w:eastAsia="黑体" w:hAnsi="黑体" w:cs="黑体"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黑体" w:eastAsia="黑体" w:hAnsi="黑体" w:cs="黑体"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黑体" w:eastAsia="黑体" w:hAnsi="黑体" w:cs="黑体"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黑体" w:eastAsia="黑体" w:hAnsi="黑体" w:cs="黑体"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黑体" w:eastAsia="黑体" w:hAnsi="黑体" w:cs="黑体"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黑体" w:eastAsia="黑体" w:hAnsi="黑体" w:cs="黑体"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黑体" w:eastAsia="黑体" w:hAnsi="黑体" w:cs="黑体"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黑体" w:eastAsia="黑体" w:hAnsi="黑体" w:cs="黑体"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黑体" w:eastAsia="黑体" w:hAnsi="黑体" w:cs="黑体"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黑体" w:eastAsia="黑体" w:hAnsi="黑体" w:cs="黑体"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黑体" w:eastAsia="黑体" w:hAnsi="黑体" w:cs="黑体"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黑体" w:eastAsia="黑体" w:hAnsi="黑体" w:cs="黑体"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黑体" w:eastAsia="黑体" w:hAnsi="黑体" w:cs="黑体"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黑体" w:eastAsia="黑体" w:hAnsi="黑体" w:cs="黑体"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宋体" w:eastAsia="宋体" w:hAnsi="宋体" w:cs="宋体"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宋体" w:eastAsia="宋体" w:hAnsi="宋体" w:cs="宋体"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宋体" w:eastAsia="宋体" w:hAnsi="宋体" w:cs="宋体"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宋体" w:eastAsia="宋体" w:hAnsi="宋体" w:cs="宋体"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宋体" w:eastAsia="宋体" w:hAnsi="宋体" w:cs="宋体"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宋体" w:eastAsia="宋体" w:hAnsi="宋体" w:cs="宋体"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宋体" w:eastAsia="宋体" w:hAnsi="宋体" w:cs="宋体"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Catering20260925E01" Type="http://schemas.openxmlformats.org/officeDocument/2006/relationships/hyperlink" Target="https://sw.wuhan.gov.cn/xwdt/gzdt/202609/t20260924_2853772.shtml" TargetMode="External"/><Relationship Id="rIdCatering20260925E06" Type="http://schemas.openxmlformats.org/officeDocument/2006/relationships/hyperlink" Target="https://www.prnasia.com/story/549131-1.shtml" TargetMode="External"/><Relationship Id="rIdCatering20260925E02" Type="http://schemas.openxmlformats.org/officeDocument/2006/relationships/hyperlink" Target="https://www.samr.gov.cn/xw/zj/art/2026/art_10c0da9f949e4247a4e28c0cd2e41e85.html" TargetMode="External"/><Relationship Id="rIdCatering20260925E10" Type="http://schemas.openxmlformats.org/officeDocument/2006/relationships/hyperlink" Target="https://scjgj.jiangsu.gov.cn/art/2026/9/22/art_78970_11833477.html" TargetMode="External"/><Relationship Id="rIdCatering20260925E04" Type="http://schemas.openxmlformats.org/officeDocument/2006/relationships/hyperlink" Target="https://cif.mofcom.gov.cn/cif/html/gqzy1/2026/9/1790213695514.html" TargetMode="External"/><Relationship Id="rIdCatering20260925E05" Type="http://schemas.openxmlformats.org/officeDocument/2006/relationships/hyperlink" Target="https://czju.suzhou.gov.cn/zfcg/html/project/a6b06465e6f84437bd829707027fda44.shtml" TargetMode="External"/><Relationship Id="rIdCatering20260925E07" Type="http://schemas.openxmlformats.org/officeDocument/2006/relationships/hyperlink" Target="https://amr.hunan.gov.cn/amr/xxx/zyxxx/202609/t20260921_34069430.html" TargetMode="External"/><Relationship Id="rIdCatering20260925E08" Type="http://schemas.openxmlformats.org/officeDocument/2006/relationships/hyperlink" Target="https://www.gov.je/stayingsafe/consumerprotection/productsafety/Pages/ProductRecallDetails.aspx?RecallId=3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黑体"/>
        <a:ea typeface="黑体"/>
        <a:cs typeface="黑体"/>
        <a:font script="Jpan" typeface="黑体"/>
        <a:font script="Hang" typeface="黑体"/>
        <a:font script="Hans" typeface="黑体"/>
        <a:font script="Hant" typeface="黑体"/>
        <a:font script="Arab" typeface="黑体"/>
        <a:font script="Hebr" typeface="黑体"/>
        <a:font script="Thai" typeface="黑体"/>
        <a:font script="Ethi" typeface="黑体"/>
        <a:font script="Beng" typeface="黑体"/>
        <a:font script="Gujr" typeface="黑体"/>
        <a:font script="Khmr" typeface="黑体"/>
        <a:font script="Knda" typeface="黑体"/>
        <a:font script="Guru" typeface="黑体"/>
        <a:font script="Cans" typeface="黑体"/>
        <a:font script="Cher" typeface="黑体"/>
        <a:font script="Yiii" typeface="黑体"/>
        <a:font script="Tibt" typeface="黑体"/>
        <a:font script="Thaa" typeface="黑体"/>
        <a:font script="Deva" typeface="黑体"/>
        <a:font script="Telu" typeface="黑体"/>
        <a:font script="Taml" typeface="黑体"/>
        <a:font script="Syrc" typeface="黑体"/>
        <a:font script="Orya" typeface="黑体"/>
        <a:font script="Mlym" typeface="黑体"/>
        <a:font script="Laoo" typeface="黑体"/>
        <a:font script="Sinh" typeface="黑体"/>
        <a:font script="Mong" typeface="黑体"/>
        <a:font script="Viet" typeface="黑体"/>
        <a:font script="Uigh" typeface="黑体"/>
        <a:font script="Geor" typeface="黑体"/>
      </a:majorFont>
      <a:minorFont>
        <a:latin typeface="宋体"/>
        <a:ea typeface="宋体"/>
        <a:cs typeface="宋体"/>
        <a:font script="Jpan" typeface="宋体"/>
        <a:font script="Hang" typeface="宋体"/>
        <a:font script="Hans" typeface="宋体"/>
        <a:font script="Hant" typeface="宋体"/>
        <a:font script="Arab" typeface="宋体"/>
        <a:font script="Hebr" typeface="宋体"/>
        <a:font script="Thai" typeface="宋体"/>
        <a:font script="Ethi" typeface="宋体"/>
        <a:font script="Beng" typeface="宋体"/>
        <a:font script="Gujr" typeface="宋体"/>
        <a:font script="Khmr" typeface="宋体"/>
        <a:font script="Knda" typeface="宋体"/>
        <a:font script="Guru" typeface="宋体"/>
        <a:font script="Cans" typeface="宋体"/>
        <a:font script="Cher" typeface="宋体"/>
        <a:font script="Yiii" typeface="宋体"/>
        <a:font script="Tibt" typeface="宋体"/>
        <a:font script="Thaa" typeface="宋体"/>
        <a:font script="Deva" typeface="宋体"/>
        <a:font script="Telu" typeface="宋体"/>
        <a:font script="Taml" typeface="宋体"/>
        <a:font script="Syrc" typeface="宋体"/>
        <a:font script="Orya" typeface="宋体"/>
        <a:font script="Mlym" typeface="宋体"/>
        <a:font script="Laoo" typeface="宋体"/>
        <a:font script="Sinh" typeface="宋体"/>
        <a:font script="Mong" typeface="宋体"/>
        <a:font script="Viet" typeface="宋体"/>
        <a:font script="Uigh" typeface="宋体"/>
        <a:font script="Geor"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餐饮行业资讯周报（内部测试版）</dc:title>
  <dc:subject>2026年9月18日16:30至9月25日16:30（北京时间）</dc:subject>
  <dc:creator/>
  <cp:keywords/>
  <dc:description/>
  <cp:lastModifiedBy/>
  <cp:revision>1</cp:revision>
  <dcterms:created xsi:type="dcterms:W3CDTF">2026-09-25T10:45:00Z</dcterms:created>
  <dcterms:modified xsi:type="dcterms:W3CDTF">2026-09-25T10:45:00Z</dcterms:modified>
  <cp:category/>
</cp:coreProperties>
</file>