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rsidR="00741353" w:rsidRDefault="00AF0D74">
      <w:pPr>
        <w:pStyle w:val="aa"/>
        <w:spacing w:after="140" w:line="640" w:lineRule="exact"/>
      </w:pPr>
      <w:r>
        <w:t>乳品行业资讯周报（内部测试版）</w:t>
      </w:r>
    </w:p>
    <w:p w14:paraId="1DF36016" w14:textId="77777777" w:rsidR="00741353" w:rsidRDefault="00AF0D74">
      <w:pPr>
        <w:pStyle w:val="ac"/>
        <w:spacing w:after="160" w:line="320" w:lineRule="exact"/>
        <w:wordWrap w:val="1"/>
      </w:pPr>
      <w:r>
        <w:t>2026年9月18日至9月25日</w:t>
      </w:r>
    </w:p>
    <w:p w14:paraId="1CB9F75F" w14:textId="77777777" w:rsidR="00741353" w:rsidRDefault="00AF0D74">
      <w:pPr>
        <w:pStyle w:val="1"/>
        <w:spacing w:before="200" w:line="440" w:lineRule="exact"/>
      </w:pPr>
      <w:r>
        <w:t>本期要点速览</w:t>
      </w:r>
    </w:p>
    <w:tbl>
      <w:tblPr>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25" w:type="dxa"/>
          <w:left w:w="125" w:type="dxa"/>
          <w:bottom w:w="125" w:type="dxa"/>
          <w:right w:w="125" w:type="dxa"/>
        </w:tblCellMar>
        <w:tblLook w:val="04A0" w:firstRow="1" w:lastRow="0" w:firstColumn="1" w:lastColumn="0" w:noHBand="0" w:noVBand="1"/>
      </w:tblPr>
      <w:tblGrid>
        <w:gridCol w:w="2778"/>
        <w:gridCol w:w="6861"/>
      </w:tblGrid>
      <w:tr w:rsidR="00741353" w14:paraId="086449A1" w14:textId="77777777">
        <w:trPr>
          <w:cantSplit/>
          <w:tblHeader/>
        </w:trPr>
        <w:tc>
          <w:tcPr>
            <w:tcW w:w="2778" w:type="dxa"/>
            <w:shd w:val="clear" w:color="auto" w:fill="E8EEF3"/>
            <w:vAlign w:val="center"/>
          </w:tcPr>
          <w:p w14:paraId="2553C703" w14:textId="77777777" w:rsidR="00741353" w:rsidRDefault="00AF0D74">
            <w:pPr>
              <w:spacing w:after="60" w:line="360" w:lineRule="exact"/>
            </w:pPr>
            <w:r>
              <w:rPr>
                <w:rFonts w:ascii="黑体" w:eastAsia="黑体" w:hAnsi="黑体" w:cs="黑体"/>
                <w:b/>
                <w:bCs/>
                <w:sz w:val="23"/>
                <w:szCs w:val="23"/>
              </w:rPr>
              <w:t>栏目</w:t>
            </w:r>
          </w:p>
        </w:tc>
        <w:tc>
          <w:tcPr>
            <w:tcW w:w="6860" w:type="dxa"/>
            <w:shd w:val="clear" w:color="auto" w:fill="E8EEF3"/>
            <w:vAlign w:val="center"/>
          </w:tcPr>
          <w:p w14:paraId="1A068D37" w14:textId="77777777" w:rsidR="00741353" w:rsidRDefault="00AF0D74">
            <w:pPr>
              <w:spacing w:after="60" w:line="360" w:lineRule="exact"/>
            </w:pPr>
            <w:r>
              <w:rPr>
                <w:rFonts w:ascii="黑体" w:eastAsia="黑体" w:hAnsi="黑体" w:cs="黑体"/>
                <w:b/>
                <w:bCs/>
                <w:sz w:val="23"/>
                <w:szCs w:val="23"/>
              </w:rPr>
              <w:t>本期要点</w:t>
            </w:r>
          </w:p>
        </w:tc>
      </w:tr>
      <w:tr w:rsidR="00741353" w14:paraId="0DAE04B9" w14:textId="77777777">
        <w:trPr>
          <w:cantSplit/>
        </w:trPr>
        <w:tc>
          <w:tcPr>
            <w:tcW w:w="2778" w:type="dxa"/>
            <w:vAlign w:val="center"/>
          </w:tcPr>
          <w:p w14:paraId="0A696661" w14:textId="77777777" w:rsidR="00741353" w:rsidRDefault="00AF0D74">
            <w:pPr>
              <w:spacing w:after="60" w:line="360" w:lineRule="exact"/>
            </w:pPr>
            <w:r>
              <w:rPr>
                <w:rFonts w:ascii="黑体" w:eastAsia="黑体" w:hAnsi="黑体" w:cs="黑体"/>
                <w:b/>
                <w:bCs/>
                <w:sz w:val="23"/>
                <w:szCs w:val="23"/>
              </w:rPr>
              <w:t>一、国内外法规、标准及监管动态</w:t>
            </w:r>
          </w:p>
        </w:tc>
        <w:tc>
          <w:tcPr>
            <w:tcW w:w="6860" w:type="dxa"/>
            <w:vAlign w:val="center"/>
          </w:tcPr>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婴配食品标签问答明确日期、致敏物质和奶源标示，以及标签调整备案边界。</w:t>
            </w:r>
          </w:p>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乳清蛋白等四项保健食品原料国家标准征集起草单位及样品，11月1日前反馈。</w:t>
            </w:r>
          </w:p>
        </w:tc>
      </w:tr>
      <w:tr w:rsidR="00741353" w14:paraId="3D7E9BE7" w14:textId="77777777">
        <w:trPr>
          <w:cantSplit/>
        </w:trPr>
        <w:tc>
          <w:tcPr>
            <w:tcW w:w="2778" w:type="dxa"/>
            <w:vAlign w:val="center"/>
          </w:tcPr>
          <w:p w14:paraId="67F7E866" w14:textId="77777777" w:rsidR="00741353" w:rsidRDefault="00AF0D74">
            <w:pPr>
              <w:spacing w:after="60" w:line="360" w:lineRule="exact"/>
            </w:pPr>
            <w:r>
              <w:rPr>
                <w:rFonts w:ascii="黑体" w:eastAsia="黑体" w:hAnsi="黑体" w:cs="黑体"/>
                <w:b/>
                <w:bCs/>
                <w:sz w:val="23"/>
                <w:szCs w:val="23"/>
              </w:rPr>
              <w:t>二、抽检、召回与质量风险预警</w:t>
            </w:r>
          </w:p>
        </w:tc>
        <w:tc>
          <w:tcPr>
            <w:tcW w:w="6860" w:type="dxa"/>
            <w:vAlign w:val="center"/>
          </w:tcPr>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法国LOISEAU一批奶酪因自检检出单核细胞增生李斯特菌召回，关注批次追溯和切分环境。</w:t>
            </w:r>
          </w:p>
        </w:tc>
      </w:tr>
      <w:tr w:rsidR="00741353" w14:paraId="716A2FD7" w14:textId="77777777">
        <w:trPr>
          <w:cantSplit/>
        </w:trPr>
        <w:tc>
          <w:tcPr>
            <w:tcW w:w="2778" w:type="dxa"/>
            <w:vAlign w:val="center"/>
          </w:tcPr>
          <w:p w14:paraId="3D2FCD93" w14:textId="77777777" w:rsidR="00741353" w:rsidRDefault="00AF0D74">
            <w:pPr>
              <w:spacing w:after="60" w:line="360" w:lineRule="exact"/>
            </w:pPr>
            <w:r>
              <w:rPr>
                <w:rFonts w:ascii="黑体" w:eastAsia="黑体" w:hAnsi="黑体" w:cs="黑体"/>
                <w:b/>
                <w:bCs/>
                <w:sz w:val="23"/>
                <w:szCs w:val="23"/>
              </w:rPr>
              <w:t>三、新产品、新技术与配料进展</w:t>
            </w:r>
          </w:p>
        </w:tc>
        <w:tc>
          <w:tcPr>
            <w:tcW w:w="6860" w:type="dxa"/>
            <w:vAlign w:val="center"/>
          </w:tcPr>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本期未检出足够高价值且可核验的新节点。</w:t>
            </w:r>
          </w:p>
        </w:tc>
      </w:tr>
      <w:tr w:rsidR="00741353" w14:paraId="30568B6B" w14:textId="77777777">
        <w:trPr>
          <w:cantSplit/>
        </w:trPr>
        <w:tc>
          <w:tcPr>
            <w:tcW w:w="2778" w:type="dxa"/>
            <w:vAlign w:val="center"/>
          </w:tcPr>
          <w:p w14:paraId="11BA2FBD" w14:textId="77777777" w:rsidR="00741353" w:rsidRDefault="00AF0D74">
            <w:pPr>
              <w:spacing w:after="60" w:line="360" w:lineRule="exact"/>
            </w:pPr>
            <w:r>
              <w:rPr>
                <w:rFonts w:ascii="黑体" w:eastAsia="黑体" w:hAnsi="黑体" w:cs="黑体"/>
                <w:b/>
                <w:bCs/>
                <w:sz w:val="23"/>
                <w:szCs w:val="23"/>
              </w:rPr>
              <w:t>四、奶源、原料行情与消费市场观察</w:t>
            </w:r>
          </w:p>
        </w:tc>
        <w:tc>
          <w:tcPr>
            <w:tcW w:w="6860" w:type="dxa"/>
            <w:vAlign w:val="center"/>
          </w:tcPr>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9月第3周主产省份生鲜乳均价3.08元/公斤，环比上涨0.3%，同比上涨1.7%。</w:t>
            </w:r>
          </w:p>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恒天然披露2025/26奶价9.69新西兰元/kgMS，并宣布未来三年追加10亿新西兰元南岛投资。</w:t>
            </w:r>
          </w:p>
        </w:tc>
      </w:tr>
      <w:tr w:rsidR="00741353" w14:paraId="348AD92E" w14:textId="77777777">
        <w:trPr>
          <w:cantSplit/>
        </w:trPr>
        <w:tc>
          <w:tcPr>
            <w:tcW w:w="2778" w:type="dxa"/>
            <w:vAlign w:val="center"/>
          </w:tcPr>
          <w:p w14:paraId="032F4B9D" w14:textId="77777777" w:rsidR="00741353" w:rsidRDefault="00AF0D74">
            <w:pPr>
              <w:spacing w:after="60" w:line="360" w:lineRule="exact"/>
            </w:pPr>
            <w:r>
              <w:rPr>
                <w:rFonts w:ascii="黑体" w:eastAsia="黑体" w:hAnsi="黑体" w:cs="黑体"/>
                <w:b/>
                <w:bCs/>
                <w:sz w:val="23"/>
                <w:szCs w:val="23"/>
              </w:rPr>
              <w:t>五、进出口贸易与海外市场准入</w:t>
            </w:r>
          </w:p>
        </w:tc>
        <w:tc>
          <w:tcPr>
            <w:tcW w:w="6860" w:type="dxa"/>
            <w:vAlign w:val="center"/>
          </w:tcPr>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本期未检出足够高价值且可核验的新节点。</w:t>
            </w:r>
          </w:p>
        </w:tc>
      </w:tr>
      <w:tr w:rsidR="00741353" w14:paraId="4E96E3BA" w14:textId="77777777">
        <w:trPr>
          <w:cantSplit/>
        </w:trPr>
        <w:tc>
          <w:tcPr>
            <w:tcW w:w="2778" w:type="dxa"/>
            <w:vAlign w:val="center"/>
          </w:tcPr>
          <w:p w14:paraId="4DBA7D85" w14:textId="77777777" w:rsidR="00741353" w:rsidRDefault="00AF0D74">
            <w:pPr>
              <w:spacing w:after="60" w:line="360" w:lineRule="exact"/>
            </w:pPr>
            <w:r>
              <w:rPr>
                <w:rFonts w:ascii="黑体" w:eastAsia="黑体" w:hAnsi="黑体" w:cs="黑体"/>
                <w:b/>
                <w:bCs/>
                <w:sz w:val="23"/>
                <w:szCs w:val="23"/>
              </w:rPr>
              <w:t>六、绿色低碳专项</w:t>
            </w:r>
          </w:p>
        </w:tc>
        <w:tc>
          <w:tcPr>
            <w:tcW w:w="6860" w:type="dxa"/>
            <w:vAlign w:val="center"/>
          </w:tcPr>
          <w:p w14:paraId="08895642" w14:textId="77777777" w:rsidR="00741353" w:rsidRDefault="00AF0D74">
            <w:pPr>
              <w:spacing w:after="60" w:line="360" w:lineRule="exact"/>
              <w:tabs>
                <w:tab w:val="left" w:pos="360"/>
              </w:tabs>
              <w:ind w:left="360" w:hanging="280"/>
              <w:wordWrap w:val="1"/>
            </w:pPr>
            <w:r>
              <w:rPr>
                <w:rFonts w:ascii="宋体" w:hAnsi="宋体" w:eastAsia="宋体" w:cs="宋体"/>
                <w:b w:val="0"/>
                <w:color w:val="000000"/>
                <w:sz w:val="23"/>
              </w:rPr>
              <w:t>•</w:t>
              <w:tab/>
            </w:r>
            <w:r>
              <w:rPr>
                <w:sz w:val="23"/>
                <w:szCs w:val="23"/>
              </w:rPr>
              <w:t>本期未检出足够高价值且可核验的新节点。</w:t>
            </w:r>
          </w:p>
        </w:tc>
      </w:tr>
    </w:tbl>
    <w:p w14:paraId="0DAB29BE" w14:textId="77777777" w:rsidR="00741353" w:rsidRDefault="00AF0D74">
      <w:pPr>
        <w:spacing w:line="290" w:lineRule="exact"/>
        <w:wordWrap w:val="1"/>
      </w:pPr>
      <w:r>
        <w:rPr>
          <w:rFonts w:ascii="宋体" w:eastAsia="宋体" w:hAnsi="宋体" w:cs="宋体"/>
          <w:color w:val="555555"/>
          <w:sz w:val="19"/>
          <w:szCs w:val="19"/>
        </w:rPr>
        <w:t>统计窗口：2026年9月18日16:30（不含）至9月25日16:30（含），北京时间。部分来源访问受限，本期仅收录已核验条目。</w:t>
      </w:r>
    </w:p>
    <w:p w14:paraId="7A6D2953" w14:textId="77777777" w:rsidR="00741353" w:rsidRDefault="00AF0D74">
      <w:pPr>
        <w:pStyle w:val="1"/>
        <w:spacing w:before="200" w:line="440" w:lineRule="exact"/>
        <w:wordWrap w:val="1"/>
        <w:pageBreakBefore w:val="1"/>
      </w:pPr>
      <w:r>
        <w:t>一、国内外法规、标准及监管动态</w:t>
      </w:r>
    </w:p>
    <w:p w14:paraId="48D7440C" w14:textId="77777777" w:rsidR="00741353" w:rsidRDefault="00AF0D74">
      <w:pPr>
        <w:pStyle w:val="21"/>
        <w:spacing w:before="140" w:line="380" w:lineRule="exact"/>
        <w:wordWrap w:val="1"/>
      </w:pPr>
      <w:r>
        <w:t>婴幼儿配方食品标签问答明确标示与备案边界</w:t>
      </w:r>
    </w:p>
    <w:p w14:paraId="055A539C" w14:textId="77777777" w:rsidR="00741353" w:rsidRDefault="00AF0D74">
      <w:pPr>
        <w:keepNext/>
        <w:spacing w:line="290" w:lineRule="exact"/>
        <w:wordWrap w:val="1"/>
      </w:pPr>
      <w:r>
        <w:rPr>
          <w:rFonts w:ascii="宋体" w:eastAsia="宋体" w:hAnsi="宋体" w:cs="宋体"/>
          <w:color w:val="555555"/>
          <w:sz w:val="19"/>
          <w:szCs w:val="19"/>
        </w:rPr>
        <w:t>国内监管｜9月20日发布；文件成文日期为9月15日</w:t>
      </w:r>
    </w:p>
    <w:p w14:paraId="75463394" w14:textId="77777777" w:rsidR="00741353" w:rsidRDefault="00AF0D74">
      <w:pPr>
        <w:keepNext/>
        <w:spacing w:line="360" w:lineRule="exact"/>
        <w:ind w:firstLine="480"/>
        <w:wordWrap w:val="1"/>
        <w:keepLines w:val="1"/>
      </w:pPr>
      <w:r>
        <w:t>市场监管总局发布婴幼儿配方食品标签标识问答，涉及配方乳粉和配方液态乳。问答说明生产日期及保质期到期日的独立区域标示、配料表邻近的乳成分致敏提示、奶源声称，以及集团内配方调配后的实际生产者标注。同一企业相同配方产品不能借包装颜色或罐体形状区分奶源。</w:t>
      </w:r>
    </w:p>
    <w:p w14:paraId="75463394" w14:textId="77777777" w:rsidR="00741353" w:rsidRDefault="00AF0D74">
      <w:pPr>
        <w:keepNext/>
        <w:spacing w:line="360" w:lineRule="exact"/>
        <w:ind w:firstLine="480"/>
        <w:wordWrap w:val="1"/>
        <w:keepLines w:val="1"/>
      </w:pPr>
      <w:r>
        <w:t>建议关注：按产品逐一比对已注册标签、拟改版标签及省级备案资料。符合问答条件、且不涉及配方注册一致性内容变化的部分标签调整，可不申请变更注册，但仍须向省级市场监管部门备案。</w:t>
      </w:r>
    </w:p>
    <w:p w14:paraId="75463394" w14:textId="77777777" w:rsidR="00741353" w:rsidRDefault="00AF0D74">
      <w:pPr>
        <w:keepNext/>
        <w:spacing w:line="360" w:lineRule="exact"/>
        <w:ind w:firstLine="480"/>
        <w:wordWrap w:val="1"/>
        <w:keepLines w:val="1"/>
      </w:pPr>
      <w:r>
        <w:t>边界：本次为政策解读，不能据此推定所有标签调整均免变更注册。办法实施前生产的产品能否继续销售，须区分标识是否违反禁止性规定，不能一概认定旧包装均可继续销售。</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1">
        <w:r>
          <w:rPr>
            <w:rFonts w:ascii="宋体" w:eastAsia="宋体" w:hAnsi="宋体" w:cs="宋体"/>
            <w:color w:val="245D83"/>
            <w:sz w:val="19"/>
            <w:szCs w:val="19"/>
            <w:u w:val="single"/>
          </w:rPr>
          <w:t>市场监管总局问答原文</w:t>
        </w:r>
      </w:hyperlink>
    </w:p>
    <w:p w14:paraId="48D7440C" w14:textId="77777777" w:rsidR="00741353" w:rsidRDefault="00AF0D74">
      <w:pPr>
        <w:pStyle w:val="21"/>
        <w:spacing w:before="140" w:line="380" w:lineRule="exact"/>
        <w:wordWrap w:val="1"/>
      </w:pPr>
      <w:r>
        <w:t>乳清蛋白等保健食品原料标准征集起草单位和样品</w:t>
      </w:r>
    </w:p>
    <w:p w14:paraId="055A539C" w14:textId="77777777" w:rsidR="00741353" w:rsidRDefault="00AF0D74">
      <w:pPr>
        <w:keepNext/>
        <w:spacing w:line="290" w:lineRule="exact"/>
        <w:wordWrap w:val="1"/>
      </w:pPr>
      <w:r>
        <w:rPr>
          <w:rFonts w:ascii="宋体" w:eastAsia="宋体" w:hAnsi="宋体" w:cs="宋体"/>
          <w:color w:val="555555"/>
          <w:sz w:val="19"/>
          <w:szCs w:val="19"/>
        </w:rPr>
        <w:t>国内标准｜9月24日公开；通知落款9月20日；11月1日前反馈</w:t>
      </w:r>
    </w:p>
    <w:p w14:paraId="75463394" w14:textId="77777777" w:rsidR="00741353" w:rsidRDefault="00AF0D74">
      <w:pPr>
        <w:keepNext/>
        <w:spacing w:line="360" w:lineRule="exact"/>
        <w:ind w:firstLine="480"/>
        <w:wordWrap w:val="1"/>
        <w:keepLines w:val="1"/>
      </w:pPr>
      <w:r>
        <w:t>国家食品安全检验检测技术研究中心发布通知，就《保健食品原料 乳清蛋白》等四项国家标准征集起草工作组成员及相关样品。有关项目已列入推荐性国家标准制定计划，由全国特殊食品标准化技术委员会归口；材料和样品要求于2026年11月1日前反馈。</w:t>
      </w:r>
    </w:p>
    <w:p w14:paraId="75463394" w14:textId="77777777" w:rsidR="00741353" w:rsidRDefault="00AF0D74">
      <w:pPr>
        <w:keepNext/>
        <w:spacing w:line="360" w:lineRule="exact"/>
        <w:ind w:firstLine="480"/>
        <w:wordWrap w:val="1"/>
        <w:keepLines w:val="1"/>
      </w:pPr>
      <w:r>
        <w:t>建议关注：乳清蛋白原料及相关保健食品企业可评估参与起草和提供代表性样品的价值，准备产品规格、检测方法与质量数据。样品标签与登记信息应一致；可提供的同批次检验资料应一并整理，具体以原通知附件要求为准。</w:t>
      </w:r>
    </w:p>
    <w:p w14:paraId="75463394" w14:textId="77777777" w:rsidR="00741353" w:rsidRDefault="00AF0D74">
      <w:pPr>
        <w:keepNext/>
        <w:spacing w:line="360" w:lineRule="exact"/>
        <w:ind w:firstLine="480"/>
        <w:wordWrap w:val="1"/>
        <w:keepLines w:val="1"/>
      </w:pPr>
      <w:r>
        <w:t>边界：目前是起草单位和样品征集，不是标准正式发布或实施，也不是对所有乳制品新增强制指标。乳清蛋白以外的三项原料仅说明通知范围，不扩展为本期独立乳品条目。</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2">
        <w:r>
          <w:rPr>
            <w:rFonts w:ascii="宋体" w:eastAsia="宋体" w:hAnsi="宋体" w:cs="宋体"/>
            <w:color w:val="245D83"/>
            <w:sz w:val="19"/>
            <w:szCs w:val="19"/>
            <w:u w:val="single"/>
          </w:rPr>
          <w:t>国家食检中心通知</w:t>
        </w:r>
      </w:hyperlink>
      <w:r>
        <w:rPr>
          <w:rFonts w:ascii="宋体" w:eastAsia="宋体" w:hAnsi="宋体" w:cs="宋体"/>
          <w:color w:val="555555"/>
          <w:sz w:val="19"/>
          <w:szCs w:val="19"/>
        </w:rPr>
        <w:t xml:space="preserve">  /  </w:t>
      </w:r>
      <w:hyperlink r:id="rId1003">
        <w:r>
          <w:rPr>
            <w:rFonts w:ascii="宋体" w:eastAsia="宋体" w:hAnsi="宋体" w:cs="宋体"/>
            <w:color w:val="245D83"/>
            <w:sz w:val="19"/>
            <w:szCs w:val="19"/>
            <w:u w:val="single"/>
          </w:rPr>
          <w:t>样品征集要求附件</w:t>
        </w:r>
      </w:hyperlink>
    </w:p>
    <w:p w14:paraId="7A6D2953" w14:textId="77777777" w:rsidR="00741353" w:rsidRDefault="00AF0D74">
      <w:pPr>
        <w:pStyle w:val="1"/>
        <w:spacing w:before="200" w:line="440" w:lineRule="exact"/>
        <w:wordWrap w:val="1"/>
        <w:pageBreakBefore w:val="0"/>
      </w:pPr>
      <w:r>
        <w:t>二、抽检、召回与质量风险预警</w:t>
      </w:r>
    </w:p>
    <w:p w14:paraId="48D7440C" w14:textId="77777777" w:rsidR="00741353" w:rsidRDefault="00AF0D74">
      <w:pPr>
        <w:pStyle w:val="21"/>
        <w:spacing w:before="140" w:line="380" w:lineRule="exact"/>
        <w:wordWrap w:val="1"/>
      </w:pPr>
      <w:r>
        <w:t>法国一批Truffé briard奶酪因李斯特菌检出召回</w:t>
      </w:r>
    </w:p>
    <w:p w14:paraId="055A539C" w14:textId="77777777" w:rsidR="00741353" w:rsidRDefault="00AF0D74">
      <w:pPr>
        <w:keepNext/>
        <w:spacing w:line="290" w:lineRule="exact"/>
        <w:wordWrap w:val="1"/>
      </w:pPr>
      <w:r>
        <w:rPr>
          <w:rFonts w:ascii="宋体" w:eastAsia="宋体" w:hAnsi="宋体" w:cs="宋体"/>
          <w:color w:val="555555"/>
          <w:sz w:val="19"/>
          <w:szCs w:val="19"/>
        </w:rPr>
        <w:t>国际召回｜法国RappelConso，9月21日；通报编号2026-09-0187，版本1</w:t>
      </w:r>
    </w:p>
    <w:p w14:paraId="75463394" w14:textId="77777777" w:rsidR="00741353" w:rsidRDefault="00AF0D74">
      <w:pPr>
        <w:keepNext/>
        <w:spacing w:line="360" w:lineRule="exact"/>
        <w:ind w:firstLine="480"/>
        <w:wordWrap w:val="1"/>
        <w:keepLines w:val="1"/>
      </w:pPr>
      <w:r>
        <w:t>法国官方RappelConso发布LOISEAU品牌Truffé briard奶酪自愿召回通报，原因为企业自检检出单核细胞增生李斯特菌。涉及批号LOI260804，最低耐久日期为2026年9月14日；通报列明销售时间为8月7日至22日，销售场景为塞纳-马恩省两处市场的切分柜台。</w:t>
      </w:r>
    </w:p>
    <w:p w14:paraId="75463394" w14:textId="77777777" w:rsidR="00741353" w:rsidRDefault="00AF0D74">
      <w:pPr>
        <w:keepNext/>
        <w:spacing w:line="360" w:lineRule="exact"/>
        <w:ind w:firstLine="480"/>
        <w:wordWrap w:val="1"/>
        <w:keepLines w:val="1"/>
      </w:pPr>
      <w:r>
        <w:t>建议关注：进口商先按品牌、批号和供应链凭证核实是否涉及相关货源；国内奶酪加工及切分企业可复核冷藏即食产品的环境监测、切分交叉污染控制与批次追溯。</w:t>
      </w:r>
    </w:p>
    <w:p w14:paraId="75463394" w14:textId="77777777" w:rsidR="00741353" w:rsidRDefault="00AF0D74">
      <w:pPr>
        <w:keepNext/>
        <w:spacing w:line="360" w:lineRule="exact"/>
        <w:ind w:firstLine="480"/>
        <w:wordWrap w:val="1"/>
        <w:keepLines w:val="1"/>
      </w:pPr>
      <w:r>
        <w:t>边界：销售日期早于本窗口，本周新增节点是9月21日召回通报。原文未提供该批次进入中国的证据；不能据此推定中国在售产品受影响，也不能将一个批次扩大为品牌全部产品风险。</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4">
        <w:r>
          <w:rPr>
            <w:rFonts w:ascii="宋体" w:eastAsia="宋体" w:hAnsi="宋体" w:cs="宋体"/>
            <w:color w:val="245D83"/>
            <w:sz w:val="19"/>
            <w:szCs w:val="19"/>
            <w:u w:val="single"/>
          </w:rPr>
          <w:t>法国官方召回通报</w:t>
        </w:r>
      </w:hyperlink>
    </w:p>
    <w:p w14:paraId="7A6D2953" w14:textId="77777777" w:rsidR="00741353" w:rsidRDefault="00AF0D74">
      <w:pPr>
        <w:pStyle w:val="1"/>
        <w:spacing w:before="200" w:line="440" w:lineRule="exact"/>
        <w:wordWrap w:val="1"/>
        <w:pageBreakBefore w:val="0"/>
      </w:pPr>
      <w:r>
        <w:t>四、奶源、原料行情与消费市场观察</w:t>
      </w:r>
    </w:p>
    <w:p w14:paraId="48D7440C" w14:textId="77777777" w:rsidR="00741353" w:rsidRDefault="00AF0D74">
      <w:pPr>
        <w:pStyle w:val="21"/>
        <w:spacing w:before="140" w:line="380" w:lineRule="exact"/>
        <w:wordWrap w:val="1"/>
      </w:pPr>
      <w:r>
        <w:t>主产省份生鲜乳监测均价回升至3.08元每公斤</w:t>
      </w:r>
    </w:p>
    <w:p w14:paraId="055A539C" w14:textId="77777777" w:rsidR="00741353" w:rsidRDefault="00AF0D74">
      <w:pPr>
        <w:keepNext/>
        <w:spacing w:line="290" w:lineRule="exact"/>
        <w:wordWrap w:val="1"/>
      </w:pPr>
      <w:r>
        <w:rPr>
          <w:rFonts w:ascii="宋体" w:eastAsia="宋体" w:hAnsi="宋体" w:cs="宋体"/>
          <w:color w:val="555555"/>
          <w:sz w:val="19"/>
          <w:szCs w:val="19"/>
        </w:rPr>
        <w:t>国内行情｜9月17日采集；农业农村部9月22日发布，地方官方9月24日转载</w:t>
      </w:r>
    </w:p>
    <w:p w14:paraId="75463394" w14:textId="77777777" w:rsidR="00741353" w:rsidRDefault="00AF0D74">
      <w:pPr>
        <w:keepNext/>
        <w:spacing w:line="360" w:lineRule="exact"/>
        <w:ind w:firstLine="480"/>
        <w:wordWrap w:val="1"/>
        <w:keepLines w:val="1"/>
      </w:pPr>
      <w:r>
        <w:t>农业农村部9月第3周畜产品和饲料价格监测显示，内蒙古、河北等10个主产省份生鲜乳平均价格为3.08元/公斤，环比上涨0.3%、同比上涨1.7%。数据采集日为9月17日，属于本周公开的新一轮监测结果；上一期使用的是9月10日采集数据。</w:t>
      </w:r>
    </w:p>
    <w:p w14:paraId="75463394" w14:textId="77777777" w:rsidR="00741353" w:rsidRDefault="00AF0D74">
      <w:pPr>
        <w:keepNext/>
        <w:spacing w:line="360" w:lineRule="exact"/>
        <w:ind w:firstLine="480"/>
        <w:wordWrap w:val="1"/>
        <w:keepLines w:val="1"/>
      </w:pPr>
      <w:r>
        <w:t>建议关注：将本轮均价作为原奶采购预算和供应商沟通的参考，并结合所在地区合同、乳成分及质量奖惩条款分析实际结算变化，不宜仅据单周小幅回升调整中长期采购判断。</w:t>
      </w:r>
    </w:p>
    <w:p w14:paraId="75463394" w14:textId="77777777" w:rsidR="00741353" w:rsidRDefault="00AF0D74">
      <w:pPr>
        <w:keepNext/>
        <w:spacing w:line="360" w:lineRule="exact"/>
        <w:ind w:firstLine="480"/>
        <w:wordWrap w:val="1"/>
        <w:keepLines w:val="1"/>
      </w:pPr>
      <w:r>
        <w:t>边界：该指标为10个主产省份监测均价，不是全国所有牧场或某家乳企的结算价。数值和采集口径与注明农业农村部来源的地方官方完整转载一致；保留两级链接供查证。</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5">
        <w:r>
          <w:rPr>
            <w:rFonts w:ascii="宋体" w:eastAsia="宋体" w:hAnsi="宋体" w:cs="宋体"/>
            <w:color w:val="245D83"/>
            <w:sz w:val="19"/>
            <w:szCs w:val="19"/>
            <w:u w:val="single"/>
          </w:rPr>
          <w:t>农业农村部原发布页</w:t>
        </w:r>
      </w:hyperlink>
      <w:r>
        <w:rPr>
          <w:rFonts w:ascii="宋体" w:eastAsia="宋体" w:hAnsi="宋体" w:cs="宋体"/>
          <w:color w:val="555555"/>
          <w:sz w:val="19"/>
          <w:szCs w:val="19"/>
        </w:rPr>
        <w:t xml:space="preserve">  /  </w:t>
      </w:r>
      <w:hyperlink r:id="rId1006">
        <w:r>
          <w:rPr>
            <w:rFonts w:ascii="宋体" w:eastAsia="宋体" w:hAnsi="宋体" w:cs="宋体"/>
            <w:color w:val="245D83"/>
            <w:sz w:val="19"/>
            <w:szCs w:val="19"/>
            <w:u w:val="single"/>
          </w:rPr>
          <w:t>平凉市畜牧兽医局官方转载</w:t>
        </w:r>
      </w:hyperlink>
    </w:p>
    <w:p w14:paraId="48D7440C" w14:textId="77777777" w:rsidR="00741353" w:rsidRDefault="00AF0D74">
      <w:pPr>
        <w:pStyle w:val="21"/>
        <w:spacing w:before="140" w:line="380" w:lineRule="exact"/>
        <w:wordWrap w:val="1"/>
      </w:pPr>
      <w:r>
        <w:t>恒天然披露年度奶价与南岛蛋白制造投资计划</w:t>
      </w:r>
    </w:p>
    <w:p w14:paraId="055A539C" w14:textId="77777777" w:rsidR="00741353" w:rsidRDefault="00AF0D74">
      <w:pPr>
        <w:keepNext/>
        <w:spacing w:line="290" w:lineRule="exact"/>
        <w:wordWrap w:val="1"/>
      </w:pPr>
      <w:r>
        <w:rPr>
          <w:rFonts w:ascii="宋体" w:eastAsia="宋体" w:hAnsi="宋体" w:cs="宋体"/>
          <w:color w:val="555555"/>
          <w:sz w:val="19"/>
          <w:szCs w:val="19"/>
        </w:rPr>
        <w:t>国际市场｜恒天然9月24日年度业绩公告</w:t>
      </w:r>
    </w:p>
    <w:p w14:paraId="75463394" w14:textId="77777777" w:rsidR="00741353" w:rsidRDefault="00AF0D74">
      <w:pPr>
        <w:keepNext/>
        <w:spacing w:line="360" w:lineRule="exact"/>
        <w:ind w:firstLine="480"/>
        <w:wordWrap w:val="1"/>
        <w:keepLines w:val="1"/>
      </w:pPr>
      <w:r>
        <w:t>恒天然公布2025/26产季最终农场门奶价为9.69新西兰元/kgMS，并在年度业绩公告中给出2026/27产季9.50新西兰元/kgMS的预测中值，区间为8.50至10.50。公司同时宣布未来三年在南岛追加投资10亿新西兰元，用于扩大蛋白制造网络并改善相关环境表现，计划项目于2029年投入运营。</w:t>
      </w:r>
    </w:p>
    <w:p w14:paraId="75463394" w14:textId="77777777" w:rsidR="00741353" w:rsidRDefault="00AF0D74">
      <w:pPr>
        <w:keepNext/>
        <w:spacing w:line="360" w:lineRule="exact"/>
        <w:ind w:firstLine="480"/>
        <w:wordWrap w:val="1"/>
        <w:keepLines w:val="1"/>
      </w:pPr>
      <w:r>
        <w:t>建议关注：中国乳品及配料采购企业可跟踪供应商从大宗乳粉向高价值蛋白产品配置资源的后续落地、规格变化和交付能力，并在采购方案中区分农场门奶价与进口原料到岸价格。</w:t>
      </w:r>
    </w:p>
    <w:p w14:paraId="75463394" w14:textId="77777777" w:rsidR="00741353" w:rsidRDefault="00AF0D74">
      <w:pPr>
        <w:keepNext/>
        <w:spacing w:line="360" w:lineRule="exact"/>
        <w:ind w:firstLine="480"/>
        <w:wordWrap w:val="1"/>
        <w:keepLines w:val="1"/>
      </w:pPr>
      <w:r>
        <w:t>边界：kgMS指乳固体公斤，不能与国内元/公斤生鲜乳直接比较。预测奶价、投资和投运时间均为企业公告口径，存在执行及市场不确定性；投资计划不等于已经形成可采购的新产能，也不证明已实现减排。</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1007">
        <w:r>
          <w:rPr>
            <w:rFonts w:ascii="宋体" w:eastAsia="宋体" w:hAnsi="宋体" w:cs="宋体"/>
            <w:color w:val="245D83"/>
            <w:sz w:val="19"/>
            <w:szCs w:val="19"/>
            <w:u w:val="single"/>
          </w:rPr>
          <w:t>恒天然年度业绩原始公告</w:t>
        </w:r>
      </w:hyperlink>
    </w:p>
    <w:p w14:paraId="7234CB7C" w14:textId="77777777" w:rsidR="00741353" w:rsidRDefault="00AF0D74">
      <w:pPr>
        <w:pStyle w:val="21"/>
        <w:spacing w:before="140" w:line="380" w:lineRule="exact"/>
      </w:pPr>
      <w:r>
        <w:t>使用说明</w:t>
      </w:r>
    </w:p>
    <w:p w14:paraId="6E6F4F60" w14:textId="77777777" w:rsidR="00741353" w:rsidRDefault="00AF0D74">
      <w:pPr>
        <w:spacing w:line="290" w:lineRule="exact"/>
        <w:wordWrap w:val="1"/>
      </w:pPr>
      <w:r>
        <w:rPr>
          <w:sz w:val="21"/>
          <w:szCs w:val="21"/>
        </w:rPr>
        <w:t>本周报用于企业质量风险、法规情报和经营决策支持，不构成产品合规批准、进口放行意见、采购指令或召回决定。信息按监管通报、市场监测及企业披露等证据性质标注；具体行动应结合目标市场、配方标签、供应链文件和检测结果。本期部分卫健委来源访问受限，相关标准信息未纳入；未核验线索不作为事实刊发。</w:t>
      </w:r>
    </w:p>
    <w:sectPr w:rsidR="00741353" w:rsidSect="00034616">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rsidR="00AF0D74" w:rsidRDefault="00AF0D74">
      <w:pPr>
        <w:spacing w:after="0" w:line="240" w:lineRule="auto"/>
      </w:pPr>
      <w:r>
        <w:separator/>
      </w:r>
    </w:p>
  </w:endnote>
  <w:endnote w:type="continuationSeparator" w:id="0">
    <w:p w14:paraId="0BB8E7FE" w14:textId="77777777" w:rsidR="00AF0D74" w:rsidRDefault="00AF0D74">
      <w:pPr>
        <w:spacing w:after="0" w:line="240" w:lineRule="auto"/>
      </w:pPr>
      <w:r>
        <w:continuationSeparator/>
      </w:r>
    </w:p>
  </w:endnote>
</w:endnotes>
</file>

<file path=word/fontTable.xml><?xml version="1.0" encoding="utf-8"?>
<w:fonts xmlns:w="http://schemas.openxmlformats.org/wordprocessingml/2006/main">
  <w:font w:name="宋体">
    <w:charset w:val="86"/>
  </w:font>
  <w:font w:name="黑体">
    <w:charset w:val="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rsidR="006F4FFB" w:rsidRDefault="006F4F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rsidR="00071710" w:rsidRDefault="008A38A6">
    <w:pPr>
      <w:spacing w:line="240" w:lineRule="exact"/>
      <w:jc w:val="right"/>
    </w:pPr>
    <w:r>
      <w:rPr>
        <w:rFonts w:ascii="宋体" w:eastAsia="宋体" w:hAnsi="宋体" w:cs="宋体"/>
        <w:color w:val="555555"/>
        <w:sz w:val="17"/>
        <w:szCs w:val="17"/>
      </w:rPr>
      <w:t xml:space="preserve">乳品行业资讯周报（内部测试版）  第 </w:t>
    </w:r>
    <w:r w:rsidR="00071710">
      <w:rPr>
        <w:rFonts w:ascii="宋体" w:eastAsia="宋体" w:hAnsi="宋体" w:cs="宋体"/>
        <w:color w:val="555555"/>
        <w:sz w:val="17"/>
        <w:szCs w:val="17"/>
      </w:rPr>
      <w:fldChar w:fldCharType="begin"/>
    </w:r>
    <w:r w:rsidR="00071710">
      <w:rPr>
        <w:rFonts w:ascii="宋体" w:eastAsia="宋体" w:hAnsi="宋体" w:cs="宋体"/>
        <w:color w:val="555555"/>
        <w:sz w:val="17"/>
        <w:szCs w:val="17"/>
      </w:rPr>
      <w:instrText>PAGE</w:instrText>
    </w:r>
    <w:r w:rsidR="00071710">
      <w:rPr>
        <w:rFonts w:ascii="宋体" w:eastAsia="宋体" w:hAnsi="宋体" w:cs="宋体"/>
        <w:color w:val="555555"/>
        <w:sz w:val="17"/>
        <w:szCs w:val="17"/>
      </w:rPr>
      <w:fldChar w:fldCharType="separate"/>
    </w:r>
    <w:r w:rsidR="00144C9B">
      <w:rPr>
        <w:rFonts w:ascii="宋体" w:eastAsia="宋体" w:hAnsi="宋体" w:cs="宋体"/>
        <w:noProof/>
        <w:color w:val="555555"/>
        <w:sz w:val="17"/>
        <w:szCs w:val="17"/>
      </w:rPr>
      <w:t>1</w:t>
    </w:r>
    <w:r w:rsidR="00071710">
      <w:rPr>
        <w:rFonts w:ascii="宋体" w:eastAsia="宋体" w:hAnsi="宋体" w:cs="宋体"/>
        <w:color w:val="555555"/>
        <w:sz w:val="17"/>
        <w:szCs w:val="17"/>
      </w:rPr>
      <w:fldChar w:fldCharType="end"/>
    </w:r>
    <w:r>
      <w:rPr>
        <w:rFonts w:ascii="宋体" w:eastAsia="宋体" w:hAnsi="宋体" w:cs="宋体"/>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rsidR="006F4FFB" w:rsidRDefault="006F4F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rsidR="00AF0D74" w:rsidRDefault="00AF0D74">
      <w:pPr>
        <w:spacing w:after="0" w:line="240" w:lineRule="auto"/>
      </w:pPr>
      <w:r>
        <w:separator/>
      </w:r>
    </w:p>
  </w:footnote>
  <w:footnote w:type="continuationSeparator" w:id="0">
    <w:p w14:paraId="01EFFB83" w14:textId="77777777" w:rsidR="00AF0D74" w:rsidRDefault="00AF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rsidR="006F4FFB" w:rsidRDefault="006F4F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rsidR="00071710" w:rsidRDefault="00071710">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rsidR="006F4FFB" w:rsidRDefault="006F4F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宋体" w:eastAsia="宋体" w:hAnsi="宋体" w:cs="宋体"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宋体" w:eastAsia="宋体" w:hAnsi="宋体" w:cs="宋体"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宋体" w:eastAsia="宋体" w:hAnsi="宋体" w:cs="宋体"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宋体" w:eastAsia="宋体" w:hAnsi="宋体" w:cs="宋体"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hideSpellingErrors w:val="true"/>
  <w:hideGrammaticalErrors w:val="true"/>
  <w:embedSystemFonts w:val="false"/>
  <w:saveSubsetFonts w:val="false"/>
  <w:embedTrueType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黑体" w:eastAsia="黑体" w:hAnsi="黑体" w:cs="黑体"/>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黑体" w:eastAsia="黑体" w:hAnsi="黑体" w:cs="黑体"/>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黑体" w:eastAsia="黑体" w:hAnsi="黑体" w:cs="黑体"/>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黑体" w:eastAsia="黑体" w:hAnsi="黑体" w:cs="黑体"/>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宋体" w:eastAsia="宋体" w:hAnsi="宋体" w:cs="宋体"/>
    </w:rPr>
  </w:style>
  <w:style w:type="paragraph" w:styleId="6">
    <w:name w:val="heading 6"/>
    <w:basedOn w:val="a1"/>
    <w:next w:val="a1"/>
    <w:link w:val="60"/>
    <w:uiPriority w:val="9"/>
    <w:semiHidden/>
    <w:unhideWhenUsed/>
    <w:qFormat/>
    <w:rsid w:val="00FC693F"/>
    <w:pPr>
      <w:keepNext/>
      <w:keepLines/>
      <w:spacing w:before="200" w:after="0"/>
      <w:outlineLvl w:val="5"/>
    </w:pPr>
    <w:rPr>
      <w:rFonts w:ascii="宋体" w:eastAsia="宋体" w:hAnsi="宋体" w:cs="宋体"/>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宋体" w:eastAsia="宋体" w:hAnsi="宋体" w:cs="宋体"/>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宋体" w:eastAsia="宋体" w:hAnsi="宋体" w:cs="宋体"/>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宋体" w:eastAsia="宋体" w:hAnsi="宋体" w:cs="宋体"/>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宋体" w:eastAsia="宋体" w:hAnsi="宋体" w:cs="宋体"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宋体" w:eastAsia="宋体" w:hAnsi="宋体" w:cs="宋体"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黑体" w:eastAsia="黑体" w:hAnsi="黑体" w:cs="黑体" w:hint="eastAsia"/>
      <w:b/>
      <w:bCs/>
      <w:i w:val="0"/>
      <w:color w:val="000000"/>
      <w:sz w:val="28"/>
      <w:szCs w:val="28"/>
      <w:lang w:val="zh-CN" w:eastAsia="zh-CN"/>
    </w:rPr>
  </w:style>
  <w:style w:type="character" w:customStyle="1" w:styleId="22">
    <w:name w:val="标题 2 字符"/>
    <w:basedOn w:val="a2"/>
    <w:link w:val="21"/>
    <w:uiPriority w:val="9"/>
    <w:rsid w:val="00FC693F"/>
    <w:rPr>
      <w:rFonts w:ascii="黑体" w:eastAsia="黑体" w:hAnsi="黑体" w:cs="黑体" w:hint="eastAsia"/>
      <w:b/>
      <w:bCs/>
      <w:i w:val="0"/>
      <w:color w:val="000000"/>
      <w:sz w:val="26"/>
      <w:szCs w:val="26"/>
      <w:lang w:val="zh-CN" w:eastAsia="zh-CN"/>
    </w:rPr>
  </w:style>
  <w:style w:type="character" w:customStyle="1" w:styleId="32">
    <w:name w:val="标题 3 字符"/>
    <w:basedOn w:val="a2"/>
    <w:link w:val="31"/>
    <w:uiPriority w:val="9"/>
    <w:rsid w:val="00FC693F"/>
    <w:rPr>
      <w:rFonts w:ascii="黑体" w:eastAsia="黑体" w:hAnsi="黑体" w:cs="黑体"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黑体" w:eastAsia="黑体" w:hAnsi="黑体" w:cs="黑体"/>
      <w:b/>
      <w:bCs/>
      <w:sz w:val="46"/>
      <w:szCs w:val="46"/>
    </w:rPr>
  </w:style>
  <w:style w:type="character" w:customStyle="1" w:styleId="ab">
    <w:name w:val="标题 字符"/>
    <w:basedOn w:val="a2"/>
    <w:link w:val="aa"/>
    <w:uiPriority w:val="10"/>
    <w:rsid w:val="00FC693F"/>
    <w:rPr>
      <w:rFonts w:ascii="宋体" w:eastAsia="宋体" w:hAnsi="宋体" w:cs="宋体"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宋体" w:eastAsia="宋体" w:hAnsi="宋体" w:cs="宋体"/>
      <w:iCs/>
      <w:sz w:val="22"/>
      <w:szCs w:val="22"/>
    </w:rPr>
  </w:style>
  <w:style w:type="character" w:customStyle="1" w:styleId="ad">
    <w:name w:val="副标题 字符"/>
    <w:basedOn w:val="a2"/>
    <w:link w:val="ac"/>
    <w:uiPriority w:val="11"/>
    <w:rsid w:val="00FC693F"/>
    <w:rPr>
      <w:rFonts w:ascii="宋体" w:eastAsia="宋体" w:hAnsi="宋体" w:cs="宋体"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宋体" w:eastAsia="宋体" w:hAnsi="宋体" w:cs="宋体"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宋体" w:eastAsia="宋体" w:hAnsi="宋体" w:cs="宋体"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宋体" w:eastAsia="宋体" w:hAnsi="宋体" w:cs="宋体"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宋体" w:eastAsia="宋体" w:hAnsi="宋体" w:cs="宋体"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宋体" w:eastAsia="宋体" w:hAnsi="宋体" w:cs="宋体" w:hint="eastAsia"/>
      <w:i w:val="0"/>
      <w:iCs/>
      <w:color w:val="000000"/>
      <w:lang w:val="zh-CN" w:eastAsia="zh-CN"/>
    </w:rPr>
  </w:style>
  <w:style w:type="character" w:customStyle="1" w:styleId="40">
    <w:name w:val="标题 4 字符"/>
    <w:basedOn w:val="a2"/>
    <w:link w:val="4"/>
    <w:uiPriority w:val="9"/>
    <w:semiHidden/>
    <w:rsid w:val="00FC693F"/>
    <w:rPr>
      <w:rFonts w:ascii="黑体" w:eastAsia="黑体" w:hAnsi="黑体" w:cs="黑体" w:hint="eastAsia"/>
      <w:b/>
      <w:bCs/>
      <w:i w:val="0"/>
      <w:iCs/>
      <w:color w:val="000000"/>
      <w:lang w:val="zh-CN" w:eastAsia="zh-CN"/>
    </w:rPr>
  </w:style>
  <w:style w:type="character" w:customStyle="1" w:styleId="50">
    <w:name w:val="标题 5 字符"/>
    <w:basedOn w:val="a2"/>
    <w:link w:val="5"/>
    <w:uiPriority w:val="9"/>
    <w:semiHidden/>
    <w:rsid w:val="00FC693F"/>
    <w:rPr>
      <w:rFonts w:ascii="宋体" w:eastAsia="宋体" w:hAnsi="宋体" w:cs="宋体" w:hint="eastAsia"/>
      <w:i w:val="0"/>
      <w:color w:val="000000"/>
      <w:lang w:val="zh-CN" w:eastAsia="zh-CN"/>
    </w:rPr>
  </w:style>
  <w:style w:type="character" w:customStyle="1" w:styleId="60">
    <w:name w:val="标题 6 字符"/>
    <w:basedOn w:val="a2"/>
    <w:link w:val="6"/>
    <w:uiPriority w:val="9"/>
    <w:semiHidden/>
    <w:rsid w:val="00FC693F"/>
    <w:rPr>
      <w:rFonts w:ascii="宋体" w:eastAsia="宋体" w:hAnsi="宋体" w:cs="宋体" w:hint="eastAsia"/>
      <w:i w:val="0"/>
      <w:iCs/>
      <w:color w:val="000000"/>
      <w:lang w:val="zh-CN" w:eastAsia="zh-CN"/>
    </w:rPr>
  </w:style>
  <w:style w:type="character" w:customStyle="1" w:styleId="70">
    <w:name w:val="标题 7 字符"/>
    <w:basedOn w:val="a2"/>
    <w:link w:val="7"/>
    <w:uiPriority w:val="9"/>
    <w:semiHidden/>
    <w:rsid w:val="00FC693F"/>
    <w:rPr>
      <w:rFonts w:ascii="宋体" w:eastAsia="宋体" w:hAnsi="宋体" w:cs="宋体" w:hint="eastAsia"/>
      <w:i w:val="0"/>
      <w:iCs/>
      <w:color w:val="000000"/>
      <w:lang w:val="zh-CN" w:eastAsia="zh-CN"/>
    </w:rPr>
  </w:style>
  <w:style w:type="character" w:customStyle="1" w:styleId="80">
    <w:name w:val="标题 8 字符"/>
    <w:basedOn w:val="a2"/>
    <w:link w:val="8"/>
    <w:uiPriority w:val="9"/>
    <w:semiHidden/>
    <w:rsid w:val="00FC693F"/>
    <w:rPr>
      <w:rFonts w:ascii="宋体" w:eastAsia="宋体" w:hAnsi="宋体" w:cs="宋体" w:hint="eastAsia"/>
      <w:i w:val="0"/>
      <w:color w:val="000000"/>
      <w:sz w:val="20"/>
      <w:szCs w:val="20"/>
      <w:lang w:val="zh-CN" w:eastAsia="zh-CN"/>
    </w:rPr>
  </w:style>
  <w:style w:type="character" w:customStyle="1" w:styleId="90">
    <w:name w:val="标题 9 字符"/>
    <w:basedOn w:val="a2"/>
    <w:link w:val="9"/>
    <w:uiPriority w:val="9"/>
    <w:semiHidden/>
    <w:rsid w:val="00FC693F"/>
    <w:rPr>
      <w:rFonts w:ascii="宋体" w:eastAsia="宋体" w:hAnsi="宋体" w:cs="宋体"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黑体" w:eastAsia="黑体" w:hAnsi="黑体" w:cs="黑体" w:hint="eastAsia"/>
      <w:b/>
      <w:bCs/>
      <w:i w:val="0"/>
      <w:color w:val="000000"/>
      <w:lang w:val="zh-CN" w:eastAsia="zh-CN"/>
    </w:rPr>
  </w:style>
  <w:style w:type="character" w:styleId="af9">
    <w:name w:val="Emphasis"/>
    <w:basedOn w:val="a2"/>
    <w:uiPriority w:val="20"/>
    <w:qFormat/>
    <w:rsid w:val="00FC693F"/>
    <w:rPr>
      <w:rFonts w:ascii="宋体" w:eastAsia="宋体" w:hAnsi="宋体" w:cs="宋体"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黑体" w:eastAsia="黑体" w:hAnsi="黑体" w:cs="黑体" w:hint="eastAsia"/>
      <w:b/>
      <w:bCs/>
      <w:i w:val="0"/>
      <w:iCs/>
      <w:color w:val="000000"/>
      <w:lang w:val="zh-CN" w:eastAsia="zh-CN"/>
    </w:rPr>
  </w:style>
  <w:style w:type="character" w:styleId="afc">
    <w:name w:val="Subtle Emphasis"/>
    <w:basedOn w:val="a2"/>
    <w:uiPriority w:val="19"/>
    <w:qFormat/>
    <w:rsid w:val="00FC693F"/>
    <w:rPr>
      <w:rFonts w:ascii="宋体" w:eastAsia="宋体" w:hAnsi="宋体" w:cs="宋体" w:hint="eastAsia"/>
      <w:i w:val="0"/>
      <w:iCs/>
      <w:color w:val="000000"/>
      <w:lang w:val="zh-CN" w:eastAsia="zh-CN"/>
    </w:rPr>
  </w:style>
  <w:style w:type="character" w:styleId="afd">
    <w:name w:val="Intense Emphasis"/>
    <w:basedOn w:val="a2"/>
    <w:uiPriority w:val="21"/>
    <w:qFormat/>
    <w:rsid w:val="00FC693F"/>
    <w:rPr>
      <w:rFonts w:ascii="黑体" w:eastAsia="黑体" w:hAnsi="黑体" w:cs="黑体" w:hint="eastAsia"/>
      <w:b/>
      <w:bCs/>
      <w:i w:val="0"/>
      <w:iCs/>
      <w:color w:val="000000"/>
      <w:lang w:val="zh-CN" w:eastAsia="zh-CN"/>
    </w:rPr>
  </w:style>
  <w:style w:type="character" w:styleId="afe">
    <w:name w:val="Subtle Reference"/>
    <w:basedOn w:val="a2"/>
    <w:uiPriority w:val="31"/>
    <w:qFormat/>
    <w:rsid w:val="00FC693F"/>
    <w:rPr>
      <w:rFonts w:ascii="宋体" w:eastAsia="宋体" w:hAnsi="宋体" w:cs="宋体" w:hint="eastAsia"/>
      <w:i w:val="0"/>
      <w:smallCaps/>
      <w:color w:val="000000"/>
      <w:u w:val="single"/>
      <w:lang w:val="zh-CN" w:eastAsia="zh-CN"/>
    </w:rPr>
  </w:style>
  <w:style w:type="character" w:styleId="aff">
    <w:name w:val="Intense Reference"/>
    <w:basedOn w:val="a2"/>
    <w:uiPriority w:val="32"/>
    <w:qFormat/>
    <w:rsid w:val="00FC693F"/>
    <w:rPr>
      <w:rFonts w:ascii="黑体" w:eastAsia="黑体" w:hAnsi="黑体" w:cs="黑体" w:hint="eastAsia"/>
      <w:b/>
      <w:bCs/>
      <w:i w:val="0"/>
      <w:smallCaps/>
      <w:color w:val="000000"/>
      <w:u w:val="single"/>
      <w:lang w:val="zh-CN" w:eastAsia="zh-CN"/>
    </w:rPr>
  </w:style>
  <w:style w:type="character" w:styleId="aff0">
    <w:name w:val="Book Title"/>
    <w:basedOn w:val="a2"/>
    <w:uiPriority w:val="33"/>
    <w:qFormat/>
    <w:rsid w:val="00FC693F"/>
    <w:rPr>
      <w:rFonts w:ascii="黑体" w:eastAsia="黑体" w:hAnsi="黑体" w:cs="黑体"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宋体" w:eastAsia="宋体" w:hAnsi="宋体" w:cs="宋体"/>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黑体" w:eastAsia="黑体" w:hAnsi="黑体" w:cs="黑体"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黑体" w:eastAsia="黑体" w:hAnsi="黑体" w:cs="黑体"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黑体" w:eastAsia="黑体" w:hAnsi="黑体" w:cs="黑体"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黑体" w:eastAsia="黑体" w:hAnsi="黑体" w:cs="黑体"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黑体" w:eastAsia="黑体" w:hAnsi="黑体" w:cs="黑体"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黑体" w:eastAsia="黑体" w:hAnsi="黑体" w:cs="黑体"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黑体" w:eastAsia="黑体" w:hAnsi="黑体" w:cs="黑体"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黑体" w:eastAsia="黑体" w:hAnsi="黑体" w:cs="黑体"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黑体" w:eastAsia="黑体" w:hAnsi="黑体" w:cs="黑体"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黑体" w:eastAsia="黑体" w:hAnsi="黑体" w:cs="黑体"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黑体" w:eastAsia="黑体" w:hAnsi="黑体" w:cs="黑体"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黑体" w:eastAsia="黑体" w:hAnsi="黑体" w:cs="黑体"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黑体" w:eastAsia="黑体" w:hAnsi="黑体" w:cs="黑体"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黑体" w:eastAsia="黑体" w:hAnsi="黑体" w:cs="黑体"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宋体" w:eastAsia="宋体" w:hAnsi="宋体" w:cs="宋体"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宋体" w:eastAsia="宋体" w:hAnsi="宋体" w:cs="宋体"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宋体" w:eastAsia="宋体" w:hAnsi="宋体" w:cs="宋体"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宋体" w:eastAsia="宋体" w:hAnsi="宋体" w:cs="宋体"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宋体" w:eastAsia="宋体" w:hAnsi="宋体" w:cs="宋体"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宋体" w:eastAsia="宋体" w:hAnsi="宋体" w:cs="宋体"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宋体" w:eastAsia="宋体" w:hAnsi="宋体" w:cs="宋体"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1001" Type="http://schemas.openxmlformats.org/officeDocument/2006/relationships/hyperlink" Target="https://www.samr.gov.cn/zw/zfxxgk/fdzdgknr/tssps/art/2026/art_943fcb4bef9045fc8324ee226ee4e5dc.html" TargetMode="External"/><Relationship Id="rId1002" Type="http://schemas.openxmlformats.org/officeDocument/2006/relationships/hyperlink" Target="https://www.cfsi.net.cn/sytzgg/202609/t20260924_10313.html" TargetMode="External"/><Relationship Id="rId1003" Type="http://schemas.openxmlformats.org/officeDocument/2006/relationships/hyperlink" Target="https://www.cfsi.net.cn/sytzgg/202609/W020260924537315855458.docx" TargetMode="External"/><Relationship Id="rId1004" Type="http://schemas.openxmlformats.org/officeDocument/2006/relationships/hyperlink" Target="https://rappel.conso.gouv.fr/fiche-rappel/23567/Interne" TargetMode="External"/><Relationship Id="rId1005" Type="http://schemas.openxmlformats.org/officeDocument/2006/relationships/hyperlink" Target="https://xmsyj.moa.gov.cn/jcyj/202609/t20260922_6488016.htm" TargetMode="External"/><Relationship Id="rId1006" Type="http://schemas.openxmlformats.org/officeDocument/2006/relationships/hyperlink" Target="https://xmsy.pingliang.gov.cn/scxq/art/2026/art_990dc7740cbe4bf6bed6b7f1ea055664.html" TargetMode="External"/><Relationship Id="rId1007" Type="http://schemas.openxmlformats.org/officeDocument/2006/relationships/hyperlink" Target="https://www.fonterra.com/nz/en/our-stories/media/fonterra-delivers-strong-fy26-performa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黑体"/>
        <a:ea typeface="黑体"/>
        <a:cs typeface="黑体"/>
        <a:font script="Jpan" typeface="黑体"/>
        <a:font script="Hang" typeface="黑体"/>
        <a:font script="Hans" typeface="黑体"/>
        <a:font script="Hant" typeface="黑体"/>
        <a:font script="Arab" typeface="黑体"/>
        <a:font script="Hebr" typeface="黑体"/>
        <a:font script="Thai" typeface="黑体"/>
        <a:font script="Ethi" typeface="黑体"/>
        <a:font script="Beng" typeface="黑体"/>
        <a:font script="Gujr" typeface="黑体"/>
        <a:font script="Khmr" typeface="黑体"/>
        <a:font script="Knda" typeface="黑体"/>
        <a:font script="Guru" typeface="黑体"/>
        <a:font script="Cans" typeface="黑体"/>
        <a:font script="Cher" typeface="黑体"/>
        <a:font script="Yiii" typeface="黑体"/>
        <a:font script="Tibt" typeface="黑体"/>
        <a:font script="Thaa" typeface="黑体"/>
        <a:font script="Deva" typeface="黑体"/>
        <a:font script="Telu" typeface="黑体"/>
        <a:font script="Taml" typeface="黑体"/>
        <a:font script="Syrc" typeface="黑体"/>
        <a:font script="Orya" typeface="黑体"/>
        <a:font script="Mlym" typeface="黑体"/>
        <a:font script="Laoo" typeface="黑体"/>
        <a:font script="Sinh" typeface="黑体"/>
        <a:font script="Mong" typeface="黑体"/>
        <a:font script="Viet" typeface="黑体"/>
        <a:font script="Uigh" typeface="黑体"/>
        <a:font script="Geor" typeface="黑体"/>
      </a:majorFont>
      <a:minorFont>
        <a:latin typeface="宋体"/>
        <a:ea typeface="宋体"/>
        <a:cs typeface="宋体"/>
        <a:font script="Jpan" typeface="宋体"/>
        <a:font script="Hang" typeface="宋体"/>
        <a:font script="Hans" typeface="宋体"/>
        <a:font script="Hant" typeface="宋体"/>
        <a:font script="Arab" typeface="宋体"/>
        <a:font script="Hebr" typeface="宋体"/>
        <a:font script="Thai" typeface="宋体"/>
        <a:font script="Ethi" typeface="宋体"/>
        <a:font script="Beng" typeface="宋体"/>
        <a:font script="Gujr" typeface="宋体"/>
        <a:font script="Khmr" typeface="宋体"/>
        <a:font script="Knda" typeface="宋体"/>
        <a:font script="Guru" typeface="宋体"/>
        <a:font script="Cans" typeface="宋体"/>
        <a:font script="Cher" typeface="宋体"/>
        <a:font script="Yiii" typeface="宋体"/>
        <a:font script="Tibt" typeface="宋体"/>
        <a:font script="Thaa" typeface="宋体"/>
        <a:font script="Deva" typeface="宋体"/>
        <a:font script="Telu" typeface="宋体"/>
        <a:font script="Taml" typeface="宋体"/>
        <a:font script="Syrc" typeface="宋体"/>
        <a:font script="Orya" typeface="宋体"/>
        <a:font script="Mlym" typeface="宋体"/>
        <a:font script="Laoo" typeface="宋体"/>
        <a:font script="Sinh" typeface="宋体"/>
        <a:font script="Mong" typeface="宋体"/>
        <a:font script="Viet" typeface="宋体"/>
        <a:font script="Uigh" typeface="宋体"/>
        <a:font script="Geor" typeface="宋体"/>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乳品行业资讯周报（内部测试版）</dc:title>
  <dc:subject>2026年9月18日至9月25日</dc:subject>
  <dc:creator>Neil Yu</dc:creator>
  <cp:keywords/>
  <dc:description/>
  <cp:lastModifiedBy>Neil Yu</cp:lastModifiedBy>
  <cp:revision>2</cp:revision>
  <dcterms:created xsi:type="dcterms:W3CDTF">2026-09-25T08:30:00Z</dcterms:created>
  <dcterms:modified xsi:type="dcterms:W3CDTF">2026-09-25T08:30:00Z</dcterms:modified>
  <cp:category/>
</cp:coreProperties>
</file>