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1ECEE1" w14:textId="77777777" w:rsidR="00741353" w:rsidRDefault="00AF0D74">
      <w:pPr>
        <w:pStyle w:val="aa"/>
        <w:spacing w:after="140" w:line="640" w:lineRule="exact"/>
        <w:wordWrap w:val="0"/>
      </w:pPr>
      <w:r>
        <w:t>食品添加剂行业资讯周报（内部测试版）</w:t>
      </w:r>
    </w:p>
    <w:p w14:paraId="1DF36016" w14:textId="77777777" w:rsidR="00741353" w:rsidRDefault="00AF0D74">
      <w:pPr>
        <w:pStyle w:val="ac"/>
        <w:spacing w:after="160" w:line="320" w:lineRule="exact"/>
        <w:wordWrap w:val="0"/>
      </w:pPr>
      <w:r>
        <w:t xml:space="preserve">2026年9月25日16:30至10月2日16:30（北京时间）</w:t>
      </w:r>
    </w:p>
    <w:p w14:paraId="1CB9F75F" w14:textId="77777777" w:rsidR="00741353" w:rsidRDefault="00AF0D74">
      <w:pPr>
        <w:pStyle w:val="1"/>
        <w:spacing w:before="200" w:line="440" w:lineRule="exact"/>
      </w:pPr>
      <w:r>
        <w:t>本期要点速览</w:t>
      </w:r>
    </w:p>
    <w:tbl>
      <w:tblPr>
        <w:tblW w:w="9639" w:type="dxa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CellMar>
          <w:top w:w="125" w:type="dxa"/>
          <w:left w:w="125" w:type="dxa"/>
          <w:bottom w:w="125" w:type="dxa"/>
          <w:right w:w="125" w:type="dxa"/>
        </w:tblCellMar>
        <w:tblLook w:val="04A0" w:firstRow="1" w:lastRow="0" w:firstColumn="1" w:lastColumn="0" w:noHBand="0" w:noVBand="1"/>
      </w:tblPr>
      <w:tblGrid>
        <w:gridCol w:w="2778"/>
        <w:gridCol w:w="6861"/>
      </w:tblGrid>
      <w:tr w:rsidR="00741353" w14:paraId="086449A1" w14:textId="77777777">
        <w:trPr>
          <w:cantSplit/>
          <w:tblHeader/>
        </w:trPr>
        <w:tc>
          <w:tcPr>
            <w:tcW w:w="2778" w:type="dxa"/>
            <w:shd w:val="clear" w:color="auto" w:fill="E8EEF3"/>
            <w:vAlign w:val="center"/>
          </w:tcPr>
          <w:p w14:paraId="2553C703" w14:textId="77777777" w:rsidR="00741353" w:rsidRDefault="00AF0D74">
            <w:pPr>
              <w:spacing w:after="60" w:line="360" w:lineRule="exact"/>
            </w:pPr>
            <w:r>
              <w:rPr>
                <w:rFonts w:ascii="黑体" w:eastAsia="黑体" w:hAnsi="黑体" w:cs="黑体"/>
                <w:b/>
                <w:bCs/>
                <w:sz w:val="23"/>
                <w:szCs w:val="23"/>
              </w:rPr>
              <w:t>栏目</w:t>
            </w:r>
          </w:p>
        </w:tc>
        <w:tc>
          <w:tcPr>
            <w:tcW w:w="6860" w:type="dxa"/>
            <w:shd w:val="clear" w:color="auto" w:fill="E8EEF3"/>
            <w:vAlign w:val="center"/>
          </w:tcPr>
          <w:p w14:paraId="1A068D37" w14:textId="77777777" w:rsidR="00741353" w:rsidRDefault="00AF0D74">
            <w:pPr>
              <w:spacing w:after="60" w:line="360" w:lineRule="exact"/>
            </w:pPr>
            <w:r>
              <w:rPr>
                <w:rFonts w:ascii="黑体" w:eastAsia="黑体" w:hAnsi="黑体" w:cs="黑体"/>
                <w:b/>
                <w:bCs/>
                <w:sz w:val="23"/>
                <w:szCs w:val="23"/>
              </w:rPr>
              <w:t>本期要点</w:t>
            </w:r>
          </w:p>
        </w:tc>
      </w:tr>
      <w:tr w:rsidR="00741353" w14:paraId="0DAE04B9" w14:textId="77777777">
        <w:trPr>
          <w:cantSplit/>
        </w:trPr>
        <w:tc>
          <w:tcPr>
            <w:tcW w:w="2778" w:type="dxa"/>
            <w:vAlign w:val="center"/>
          </w:tcPr>
          <w:p w14:paraId="0A696661" w14:textId="77777777" w:rsidR="00741353" w:rsidRDefault="00AF0D74">
            <w:pPr>
              <w:spacing w:after="60" w:line="360" w:lineRule="exact"/>
              <w:wordWrap w:val="0"/>
            </w:pPr>
            <w:r>
              <w:rPr>
                <w:rFonts w:ascii="黑体" w:eastAsia="黑体" w:hAnsi="黑体" w:cs="黑体"/>
                <w:b/>
                <w:bCs/>
                <w:sz w:val="23"/>
                <w:szCs w:val="23"/>
              </w:rPr>
              <w:t>一、法规标准与许可进展</w:t>
            </w:r>
          </w:p>
        </w:tc>
        <w:tc>
          <w:tcPr>
            <w:tcW w:w="6860" w:type="dxa"/>
            <w:vAlign w:val="center"/>
          </w:tcPr>
          <w:p w14:paraId="08895642" w14:textId="77777777" w:rsidR="00741353" w:rsidRDefault="00AF0D74">
            <w:pPr>
              <w:spacing w:after="60" w:line="360" w:lineRule="exact"/>
              <w:tabs>
                <w:tab w:val="left" w:pos="360"/>
              </w:tabs>
              <w:ind w:left="360" w:hanging="280"/>
              <w:wordWrap w:val="0"/>
            </w:pPr>
            <w:r>
              <w:rPr>
                <w:rFonts w:ascii="宋体" w:hAnsi="宋体" w:eastAsia="宋体" w:cs="宋体"/>
                <w:b w:val="0"/>
                <w:color w:val="000000"/>
                <w:sz w:val="23"/>
              </w:rPr>
              <w:t>•</w:t>
              <w:tab/>
            </w:r>
            <w:r>
              <w:rPr>
                <w:sz w:val="23"/>
                <w:szCs w:val="23"/>
              </w:rPr>
              <w:t xml:space="preserve">羟基酪醇申请以第0058号受理；受理公示不构成批准使用依据。</w:t>
            </w:r>
          </w:p>
        </w:tc>
      </w:tr>
      <w:tr w:rsidR="00741353" w14:paraId="3D7E9BE7" w14:textId="77777777">
        <w:trPr>
          <w:cantSplit/>
        </w:trPr>
        <w:tc>
          <w:tcPr>
            <w:tcW w:w="2778" w:type="dxa"/>
            <w:vAlign w:val="center"/>
          </w:tcPr>
          <w:p w14:paraId="67F7E866" w14:textId="77777777" w:rsidR="00741353" w:rsidRDefault="00AF0D74">
            <w:pPr>
              <w:spacing w:after="60" w:line="360" w:lineRule="exact"/>
              <w:wordWrap w:val="0"/>
            </w:pPr>
            <w:r>
              <w:rPr>
                <w:rFonts w:ascii="黑体" w:eastAsia="黑体" w:hAnsi="黑体" w:cs="黑体"/>
                <w:b/>
                <w:bCs/>
                <w:sz w:val="23"/>
                <w:szCs w:val="23"/>
              </w:rPr>
              <w:t>二、安全评价、抽检与合规风险</w:t>
            </w:r>
          </w:p>
        </w:tc>
        <w:tc>
          <w:tcPr>
            <w:tcW w:w="6860" w:type="dxa"/>
            <w:vAlign w:val="center"/>
          </w:tcPr>
          <w:p w14:paraId="08895642" w14:textId="77777777" w:rsidR="00741353" w:rsidRDefault="00AF0D74">
            <w:pPr>
              <w:spacing w:after="60" w:line="360" w:lineRule="exact"/>
              <w:tabs>
                <w:tab w:val="left" w:pos="360"/>
              </w:tabs>
              <w:ind w:left="360" w:hanging="280"/>
              <w:wordWrap w:val="0"/>
            </w:pPr>
            <w:r>
              <w:rPr>
                <w:rFonts w:ascii="宋体" w:hAnsi="宋体" w:eastAsia="宋体" w:cs="宋体"/>
                <w:b w:val="0"/>
                <w:color w:val="000000"/>
                <w:sz w:val="23"/>
              </w:rPr>
              <w:t>•</w:t>
              <w:tab/>
            </w:r>
            <w:r>
              <w:rPr>
                <w:sz w:val="23"/>
                <w:szCs w:val="23"/>
              </w:rPr>
              <w:t xml:space="preserve">该批去骨鸭掌串诱惑红检验结果为0.0130 g/kg，标准值为“不得使用”。</w:t>
            </w:r>
          </w:p>
        </w:tc>
      </w:tr>
      <w:tr w:rsidR="00741353" w14:paraId="716A2FD7" w14:textId="77777777">
        <w:trPr>
          <w:cantSplit/>
        </w:trPr>
        <w:tc>
          <w:tcPr>
            <w:tcW w:w="2778" w:type="dxa"/>
            <w:vAlign w:val="center"/>
          </w:tcPr>
          <w:p w14:paraId="3D2FCD93" w14:textId="77777777" w:rsidR="00741353" w:rsidRDefault="00AF0D74">
            <w:pPr>
              <w:spacing w:after="60" w:line="360" w:lineRule="exact"/>
              <w:wordWrap w:val="0"/>
            </w:pPr>
            <w:r>
              <w:rPr>
                <w:rFonts w:ascii="黑体" w:eastAsia="黑体" w:hAnsi="黑体" w:cs="黑体"/>
                <w:b/>
                <w:bCs/>
                <w:sz w:val="23"/>
                <w:szCs w:val="23"/>
              </w:rPr>
              <w:t>三、新型添加剂、制造工艺与应用</w:t>
            </w:r>
          </w:p>
        </w:tc>
        <w:tc>
          <w:tcPr>
            <w:tcW w:w="6860" w:type="dxa"/>
            <w:vAlign w:val="center"/>
          </w:tcPr>
          <w:p w14:paraId="08895642" w14:textId="77777777" w:rsidR="00741353" w:rsidRDefault="00AF0D74">
            <w:pPr>
              <w:spacing w:after="60" w:line="360" w:lineRule="exact"/>
              <w:tabs>
                <w:tab w:val="left" w:pos="360"/>
              </w:tabs>
              <w:ind w:left="360" w:hanging="280"/>
              <w:wordWrap w:val="0"/>
            </w:pPr>
            <w:r>
              <w:rPr>
                <w:rFonts w:ascii="宋体" w:hAnsi="宋体" w:eastAsia="宋体" w:cs="宋体"/>
                <w:b w:val="0"/>
                <w:color w:val="000000"/>
                <w:sz w:val="23"/>
              </w:rPr>
              <w:t>•</w:t>
              <w:tab/>
            </w:r>
            <w:r>
              <w:rPr>
                <w:sz w:val="23"/>
                <w:szCs w:val="23"/>
              </w:rPr>
              <w:t xml:space="preserve">机构介绍果胶与蛋白复合体系的凝胶、乳化、持水及多类食品应用研究。</w:t>
            </w:r>
          </w:p>
          <w:p w14:paraId="08895642" w14:textId="77777777" w:rsidR="00741353" w:rsidRDefault="00AF0D74">
            <w:pPr>
              <w:spacing w:after="60" w:line="360" w:lineRule="exact"/>
              <w:tabs>
                <w:tab w:val="left" w:pos="360"/>
              </w:tabs>
              <w:ind w:left="360" w:hanging="280"/>
              <w:wordWrap w:val="0"/>
            </w:pPr>
            <w:r>
              <w:rPr>
                <w:rFonts w:ascii="宋体" w:hAnsi="宋体" w:eastAsia="宋体" w:cs="宋体"/>
                <w:b w:val="0"/>
                <w:color w:val="000000"/>
                <w:sz w:val="23"/>
              </w:rPr>
              <w:t>•</w:t>
              <w:tab/>
            </w:r>
            <w:r>
              <w:rPr>
                <w:sz w:val="23"/>
                <w:szCs w:val="23"/>
              </w:rPr>
              <w:t xml:space="preserve">W/O/W乳液研究同时关注甜味分布及渗漏、聚结、风味损失等转化限制。</w:t>
            </w:r>
          </w:p>
        </w:tc>
      </w:tr>
      <w:tr w:rsidR="00741353" w14:paraId="30568B6B" w14:textId="77777777">
        <w:trPr>
          <w:cantSplit/>
        </w:trPr>
        <w:tc>
          <w:tcPr>
            <w:tcW w:w="2778" w:type="dxa"/>
            <w:vAlign w:val="center"/>
          </w:tcPr>
          <w:p w14:paraId="11BA2FBD" w14:textId="77777777" w:rsidR="00741353" w:rsidRDefault="00AF0D74">
            <w:pPr>
              <w:spacing w:after="60" w:line="360" w:lineRule="exact"/>
              <w:wordWrap w:val="0"/>
            </w:pPr>
            <w:r>
              <w:rPr>
                <w:rFonts w:ascii="黑体" w:eastAsia="黑体" w:hAnsi="黑体" w:cs="黑体"/>
                <w:b/>
                <w:bCs/>
                <w:sz w:val="23"/>
                <w:szCs w:val="23"/>
              </w:rPr>
              <w:t>四、检测方法、质量规格与验证</w:t>
            </w:r>
          </w:p>
        </w:tc>
        <w:tc>
          <w:tcPr>
            <w:tcW w:w="6860" w:type="dxa"/>
            <w:vAlign w:val="center"/>
          </w:tcPr>
          <w:p w14:paraId="066E3FEC" w14:textId="77777777" w:rsidR="00741353" w:rsidRDefault="00AF0D74">
            <w:pPr>
              <w:spacing w:after="60" w:line="360" w:lineRule="exact"/>
              <w:wordWrap w:val="0"/>
            </w:pPr>
            <w:r>
              <w:rPr>
                <w:sz w:val="23"/>
                <w:szCs w:val="23"/>
              </w:rPr>
              <w:t xml:space="preserve">本期暂无可刊发条目。</w:t>
            </w:r>
          </w:p>
        </w:tc>
      </w:tr>
      <w:tr w:rsidR="00741353" w14:paraId="348AD92E" w14:textId="77777777">
        <w:trPr>
          <w:cantSplit/>
        </w:trPr>
        <w:tc>
          <w:tcPr>
            <w:tcW w:w="2778" w:type="dxa"/>
            <w:vAlign w:val="center"/>
          </w:tcPr>
          <w:p w14:paraId="032F4B9D" w14:textId="77777777" w:rsidR="00741353" w:rsidRDefault="00AF0D74">
            <w:pPr>
              <w:spacing w:after="60" w:line="360" w:lineRule="exact"/>
              <w:wordWrap w:val="0"/>
            </w:pPr>
            <w:r>
              <w:rPr>
                <w:rFonts w:ascii="黑体" w:eastAsia="黑体" w:hAnsi="黑体" w:cs="黑体"/>
                <w:b/>
                <w:bCs/>
                <w:sz w:val="23"/>
                <w:szCs w:val="23"/>
              </w:rPr>
              <w:t>五、产业供应、市场与企业实质动态</w:t>
            </w:r>
          </w:p>
        </w:tc>
        <w:tc>
          <w:tcPr>
            <w:tcW w:w="6860" w:type="dxa"/>
            <w:vAlign w:val="center"/>
          </w:tcPr>
          <w:p w14:paraId="08895642" w14:textId="77777777" w:rsidR="00741353" w:rsidRDefault="00AF0D74">
            <w:pPr>
              <w:spacing w:after="60" w:line="360" w:lineRule="exact"/>
              <w:tabs>
                <w:tab w:val="left" w:pos="360"/>
              </w:tabs>
              <w:ind w:left="360" w:hanging="280"/>
              <w:wordWrap w:val="0"/>
            </w:pPr>
            <w:r>
              <w:rPr>
                <w:rFonts w:ascii="宋体" w:hAnsi="宋体" w:eastAsia="宋体" w:cs="宋体"/>
                <w:b w:val="0"/>
                <w:color w:val="000000"/>
                <w:sz w:val="23"/>
              </w:rPr>
              <w:t xml:space="preserve">本期暂无可刊发条目。</w:t>
            </w:r>
          </w:p>
        </w:tc>
      </w:tr>
      <w:tr w:rsidR="00741353" w14:paraId="4E96E3BA" w14:textId="77777777">
        <w:trPr>
          <w:cantSplit/>
        </w:trPr>
        <w:tc>
          <w:tcPr>
            <w:tcW w:w="2778" w:type="dxa"/>
            <w:vAlign w:val="center"/>
          </w:tcPr>
          <w:p w14:paraId="4DBA7D85" w14:textId="77777777" w:rsidR="00741353" w:rsidRDefault="00AF0D74">
            <w:pPr>
              <w:spacing w:after="60" w:line="360" w:lineRule="exact"/>
              <w:wordWrap w:val="0"/>
            </w:pPr>
            <w:r>
              <w:rPr>
                <w:rFonts w:ascii="黑体" w:eastAsia="黑体" w:hAnsi="黑体" w:cs="黑体"/>
                <w:b/>
                <w:bCs/>
                <w:sz w:val="23"/>
                <w:szCs w:val="23"/>
              </w:rPr>
              <w:t>六、行业交流、标准化与前瞻议题</w:t>
            </w:r>
          </w:p>
        </w:tc>
        <w:tc>
          <w:tcPr>
            <w:tcW w:w="6860" w:type="dxa"/>
            <w:vAlign w:val="center"/>
          </w:tcPr>
          <w:p w14:paraId="08895642" w14:textId="77777777" w:rsidR="00741353" w:rsidRDefault="00AF0D74">
            <w:pPr>
              <w:spacing w:after="60" w:line="360" w:lineRule="exact"/>
              <w:tabs>
                <w:tab w:val="left" w:pos="360"/>
              </w:tabs>
              <w:ind w:left="360" w:hanging="280"/>
              <w:wordWrap w:val="0"/>
            </w:pPr>
            <w:r>
              <w:rPr>
                <w:rFonts w:ascii="宋体" w:hAnsi="宋体" w:eastAsia="宋体" w:cs="宋体"/>
                <w:b w:val="0"/>
                <w:color w:val="000000"/>
                <w:sz w:val="23"/>
              </w:rPr>
              <w:t xml:space="preserve">本期暂无可刊发条目。</w:t>
            </w:r>
          </w:p>
        </w:tc>
      </w:tr>
    </w:tbl>
    <w:p w14:paraId="0DAB29BE" w14:textId="77777777" w:rsidR="00741353" w:rsidRDefault="00AF0D74">
      <w:pPr>
        <w:spacing w:line="290" w:lineRule="exact"/>
        <w:wordWrap w:val="0"/>
      </w:pPr>
      <w:r>
        <w:rPr>
          <w:rFonts w:ascii="宋体" w:eastAsia="宋体" w:hAnsi="宋体" w:cs="宋体"/>
          <w:color w:val="555555"/>
          <w:sz w:val="19"/>
          <w:szCs w:val="19"/>
        </w:rPr>
        <w:t xml:space="preserve">本稿覆盖2026年9月25日16:30之后至10月2日16:30公开或更新的信息，实际补编于2026年10月4日。本期已核素材包括羟基酪醇新品种受理、上海速冻食品诱惑红抽检，以及果胶与蛋白复合体系、双重乳液减糖两项研究综述传播动态。法规状态、具体批次结果与研究应用信号分别表述。</w:t>
      </w:r>
    </w:p>
    <w:p w14:paraId="7A6D2953" w14:textId="77777777" w:rsidR="00741353" w:rsidRDefault="00AF0D74">
      <w:pPr>
        <w:pStyle w:val="1"/>
        <w:spacing w:before="200" w:line="440" w:lineRule="exact"/>
        <w:wordWrap w:val="0"/>
        <w:pageBreakBefore w:val="1"/>
      </w:pPr>
      <w:r>
        <w:t xml:space="preserve">一、法规标准与许可进展</w:t>
      </w:r>
    </w:p>
    <w:p w14:paraId="48D7440C" w14:textId="77777777" w:rsidR="00741353" w:rsidRDefault="00AF0D74">
      <w:pPr>
        <w:pStyle w:val="21"/>
        <w:spacing w:before="140" w:line="380" w:lineRule="exact"/>
        <w:wordWrap w:val="0"/>
      </w:pPr>
      <w:r>
        <w:t xml:space="preserve">羟基酪醇食品添加剂新品种申请进入受理环节</w:t>
      </w:r>
    </w:p>
    <w:p w14:paraId="055A539C" w14:textId="77777777" w:rsidR="00741353" w:rsidRDefault="00AF0D74">
      <w:pPr>
        <w:keepNext/>
        <w:spacing w:line="290" w:lineRule="exact"/>
        <w:wordWrap w:val="0"/>
      </w:pPr>
      <w:r>
        <w:rPr>
          <w:rFonts w:ascii="宋体" w:eastAsia="宋体" w:hAnsi="宋体" w:cs="宋体"/>
          <w:color w:val="555555"/>
          <w:sz w:val="19"/>
          <w:szCs w:val="19"/>
        </w:rPr>
        <w:t xml:space="preserve">中国内地｜官方页面所示日期2026年9月28日</w:t>
      </w:r>
    </w:p>
    <w:p w14:paraId="75463394" w14:textId="77777777" w:rsidR="00741353" w:rsidRDefault="00AF0D74">
      <w:pPr>
        <w:keepNext/>
        <w:spacing w:line="360" w:lineRule="exact"/>
        <w:ind w:firstLine="480"/>
        <w:wordWrap w:val="0"/>
        <w:keepLines w:val="1"/>
      </w:pPr>
      <w:r>
        <w:t xml:space="preserve">卫健委政务服务平台公布羟基酪醇食品添加剂新品种申请受理信息，编号为卫食添新申字(2026)第0058号。公告标题、页面日期及受理表均列明9月28日；本期采用页面可见日期，不以链接路径中的9月29日替代。</w:t>
      </w:r>
    </w:p>
    <w:p w14:paraId="75463394" w14:textId="77777777" w:rsidR="00741353" w:rsidRDefault="00AF0D74">
      <w:pPr>
        <w:keepNext/>
        <w:spacing w:line="360" w:lineRule="exact"/>
        <w:ind w:firstLine="480"/>
        <w:wordWrap w:val="0"/>
        <w:keepLines w:val="1"/>
      </w:pPr>
      <w:r>
        <w:t xml:space="preserve">合规关注：这是申请受理节点，公告没有给出批准使用范围、用量或质量规格，不能据此认定已获食品添加剂使用许可。原料供应商和配方企业可跟踪后续审评及正式公告，采购和配方放行仍应核对适用的许可依据。</w:t>
      </w:r>
    </w:p>
    <w:p w14:paraId="21359F8A" w14:textId="7BCCA01E" w:rsidR="00741353" w:rsidRDefault="00AF0D74">
      <w:pPr>
        <w:spacing w:after="160" w:line="280" w:lineRule="exact"/>
      </w:pPr>
      <w:r>
        <w:rPr>
          <w:rFonts w:ascii="宋体" w:eastAsia="宋体" w:hAnsi="宋体" w:cs="宋体"/>
          <w:color w:val="555555"/>
          <w:sz w:val="19"/>
          <w:szCs w:val="19"/>
        </w:rPr>
        <w:t xml:space="preserve">来源 </w:t>
      </w:r>
      <w:hyperlink r:id="rIdNewsletterSource1">
        <w:r>
          <w:rPr>
            <w:rFonts w:ascii="宋体" w:eastAsia="宋体" w:hAnsi="宋体" w:cs="宋体"/>
            <w:color w:val="245D83"/>
            <w:sz w:val="19"/>
            <w:szCs w:val="19"/>
            <w:u w:val="single"/>
          </w:rPr>
          <w:t>国家卫健委政务服务平台受理公告</w:t>
        </w:r>
      </w:hyperlink>
    </w:p>
    <w:p w14:paraId="7A6D2953" w14:textId="77777777" w:rsidR="00741353" w:rsidRDefault="00AF0D74">
      <w:pPr>
        <w:pStyle w:val="1"/>
        <w:spacing w:before="200" w:line="440" w:lineRule="exact"/>
        <w:wordWrap w:val="0"/>
        <w:pageBreakBefore w:val="0"/>
      </w:pPr>
      <w:r>
        <w:t xml:space="preserve">二、安全评价、抽检与合规风险</w:t>
      </w:r>
    </w:p>
    <w:p w14:paraId="48D7440C" w14:textId="77777777" w:rsidR="00741353" w:rsidRDefault="00AF0D74">
      <w:pPr>
        <w:pStyle w:val="21"/>
        <w:spacing w:before="140" w:line="380" w:lineRule="exact"/>
        <w:wordWrap w:val="0"/>
      </w:pPr>
      <w:r>
        <w:t xml:space="preserve">上海抽检一批速冻去骨鸭掌串检出不得使用的诱惑红</w:t>
      </w:r>
    </w:p>
    <w:p w14:paraId="055A539C" w14:textId="77777777" w:rsidR="00741353" w:rsidRDefault="00AF0D74">
      <w:pPr>
        <w:keepNext/>
        <w:spacing w:line="290" w:lineRule="exact"/>
        <w:wordWrap w:val="0"/>
      </w:pPr>
      <w:r>
        <w:rPr>
          <w:rFonts w:ascii="宋体" w:eastAsia="宋体" w:hAnsi="宋体" w:cs="宋体"/>
          <w:color w:val="555555"/>
          <w:sz w:val="19"/>
          <w:szCs w:val="19"/>
        </w:rPr>
        <w:t xml:space="preserve">中国内地｜官方公告日期2026年9月30日</w:t>
      </w:r>
    </w:p>
    <w:p w14:paraId="75463394" w14:textId="77777777" w:rsidR="00741353" w:rsidRDefault="00AF0D74">
      <w:pPr>
        <w:keepNext/>
        <w:spacing w:line="360" w:lineRule="exact"/>
        <w:ind w:firstLine="480"/>
        <w:wordWrap w:val="0"/>
        <w:keepLines w:val="1"/>
      </w:pPr>
      <w:r>
        <w:t xml:space="preserve">上海市市场监管局9月30日公布的第26期省级食品安全抽检信息涉及1708批次样品，其中7批次不合格。与食品添加剂直接相关的速冻食品不合格附件列明一批去骨鸭掌串，规格700g/袋、生产日期2026年1月15日；诱惑红检验结果为0.0130 g/kg，标准值为“不得使用”。</w:t>
      </w:r>
    </w:p>
    <w:p w14:paraId="75463394" w14:textId="77777777" w:rsidR="00741353" w:rsidRDefault="00AF0D74">
      <w:pPr>
        <w:keepNext/>
        <w:spacing w:line="360" w:lineRule="exact"/>
        <w:ind w:firstLine="480"/>
        <w:wordWrap w:val="0"/>
        <w:keepLines w:val="1"/>
      </w:pPr>
      <w:r>
        <w:t xml:space="preserve">合规关注：该结果仅针对附件列明的样品、批次及检验项目，不能概括为允许限量的超标，也不能推定其他批次或品牌均有问题。相关企业可按产品食品分类核对着色剂适用性，并将复合配料、腌制料及供应商色素声明纳入配方审核和必要的目标物检测。</w:t>
      </w:r>
    </w:p>
    <w:p w14:paraId="21359F8A" w14:textId="7BCCA01E" w:rsidR="00741353" w:rsidRDefault="00AF0D74">
      <w:pPr>
        <w:spacing w:after="160" w:line="280" w:lineRule="exact"/>
      </w:pPr>
      <w:r>
        <w:rPr>
          <w:rFonts w:ascii="宋体" w:eastAsia="宋体" w:hAnsi="宋体" w:cs="宋体"/>
          <w:color w:val="555555"/>
          <w:sz w:val="19"/>
          <w:szCs w:val="19"/>
        </w:rPr>
        <w:t xml:space="preserve">来源 </w:t>
      </w:r>
      <w:hyperlink r:id="rIdNewsletterSource2">
        <w:r>
          <w:rPr>
            <w:rFonts w:ascii="宋体" w:eastAsia="宋体" w:hAnsi="宋体" w:cs="宋体"/>
            <w:color w:val="245D83"/>
            <w:sz w:val="19"/>
            <w:szCs w:val="19"/>
            <w:u w:val="single"/>
          </w:rPr>
          <w:t>上海市市场监管局第26期省级食品安全抽检公告</w:t>
        </w:r>
      </w:hyperlink>
      <w:r>
        <w:rPr>
          <w:rFonts w:ascii="宋体" w:eastAsia="宋体" w:hAnsi="宋体" w:cs="宋体"/>
          <w:color w:val="555555"/>
          <w:sz w:val="19"/>
          <w:szCs w:val="19"/>
        </w:rPr>
        <w:t xml:space="preserve">  /  </w:t>
      </w:r>
      <w:hyperlink r:id="rIdNewsletterSource3">
        <w:r>
          <w:rPr>
            <w:rFonts w:ascii="宋体" w:eastAsia="宋体" w:hAnsi="宋体" w:cs="宋体"/>
            <w:color w:val="245D83"/>
            <w:sz w:val="19"/>
            <w:szCs w:val="19"/>
            <w:u w:val="single"/>
          </w:rPr>
          <w:t>速冻食品监督抽检信息（不合格）原始附件</w:t>
        </w:r>
      </w:hyperlink>
    </w:p>
    <w:p w14:paraId="7A6D2953" w14:textId="77777777" w:rsidR="00741353" w:rsidRDefault="00AF0D74">
      <w:pPr>
        <w:pStyle w:val="1"/>
        <w:spacing w:before="200" w:line="440" w:lineRule="exact"/>
        <w:wordWrap w:val="0"/>
        <w:pageBreakBefore w:val="0"/>
      </w:pPr>
      <w:r>
        <w:t xml:space="preserve">三、新型添加剂、制造工艺与应用</w:t>
      </w:r>
    </w:p>
    <w:p w14:paraId="48D7440C" w14:textId="77777777" w:rsidR="00741353" w:rsidRDefault="00AF0D74">
      <w:pPr>
        <w:pStyle w:val="21"/>
        <w:spacing w:before="140" w:line="380" w:lineRule="exact"/>
        <w:wordWrap w:val="0"/>
      </w:pPr>
      <w:r>
        <w:t xml:space="preserve">研究综述梳理果胶与蛋白复合体系的质构应用</w:t>
      </w:r>
    </w:p>
    <w:p w14:paraId="055A539C" w14:textId="77777777" w:rsidR="00741353" w:rsidRDefault="00AF0D74">
      <w:pPr>
        <w:keepNext/>
        <w:spacing w:line="290" w:lineRule="exact"/>
        <w:wordWrap w:val="0"/>
      </w:pPr>
      <w:r>
        <w:rPr>
          <w:rFonts w:ascii="宋体" w:eastAsia="宋体" w:hAnsi="宋体" w:cs="宋体"/>
          <w:color w:val="555555"/>
          <w:sz w:val="19"/>
          <w:szCs w:val="19"/>
        </w:rPr>
        <w:t xml:space="preserve">中国内地｜研究机构公开日期2026年9月30日</w:t>
      </w:r>
    </w:p>
    <w:p w14:paraId="75463394" w14:textId="77777777" w:rsidR="00741353" w:rsidRDefault="00AF0D74">
      <w:pPr>
        <w:keepNext/>
        <w:spacing w:line="360" w:lineRule="exact"/>
        <w:ind w:firstLine="480"/>
        <w:wordWrap w:val="0"/>
        <w:keepLines w:val="1"/>
      </w:pPr>
      <w:r>
        <w:t xml:space="preserve">中国农业科学院农产品加工研究所9月30日发布研究进展，介绍果胶与蛋白复合体系的形成机制及凝胶、乳化、持水等功能，以及其在吞咽障碍友好食品、植物基食品、3D打印、递送体系和脂肪替代中的应用研究。机构列示论文DOI为10.1111/1541-4337.70597。</w:t>
      </w:r>
    </w:p>
    <w:p w14:paraId="75463394" w14:textId="77777777" w:rsidR="00741353" w:rsidRDefault="00AF0D74">
      <w:pPr>
        <w:keepNext/>
        <w:spacing w:line="360" w:lineRule="exact"/>
        <w:ind w:firstLine="480"/>
        <w:wordWrap w:val="0"/>
        <w:keepLines w:val="1"/>
      </w:pPr>
      <w:r>
        <w:t xml:space="preserve">技术关注：本条以研究机构本周公开介绍为信息节点，属于研究综述信号，不认定论文在本周首次发表，也未独立审查论文全文。应用开发仍需结合具体配料身份和使用条件，验证加工稳定性、流变表现及目标食品适用性；研究潜力不代表新许可或产业化效果已被证明。</w:t>
      </w:r>
    </w:p>
    <w:p w14:paraId="21359F8A" w14:textId="7BCCA01E" w:rsidR="00741353" w:rsidRDefault="00AF0D74">
      <w:pPr>
        <w:spacing w:after="160" w:line="280" w:lineRule="exact"/>
      </w:pPr>
      <w:r>
        <w:rPr>
          <w:rFonts w:ascii="宋体" w:eastAsia="宋体" w:hAnsi="宋体" w:cs="宋体"/>
          <w:color w:val="555555"/>
          <w:sz w:val="19"/>
          <w:szCs w:val="19"/>
        </w:rPr>
        <w:t xml:space="preserve">来源 </w:t>
      </w:r>
      <w:hyperlink r:id="rIdNewsletterSource4">
        <w:r>
          <w:rPr>
            <w:rFonts w:ascii="宋体" w:eastAsia="宋体" w:hAnsi="宋体" w:cs="宋体"/>
            <w:color w:val="245D83"/>
            <w:sz w:val="19"/>
            <w:szCs w:val="19"/>
            <w:u w:val="single"/>
          </w:rPr>
          <w:t>中国农科院加工所：果胶与蛋白复合体系研究进展</w:t>
        </w:r>
      </w:hyperlink>
    </w:p>
    <w:p w14:paraId="48D7440C" w14:textId="77777777" w:rsidR="00741353" w:rsidRDefault="00AF0D74">
      <w:pPr>
        <w:pStyle w:val="21"/>
        <w:spacing w:before="140" w:line="380" w:lineRule="exact"/>
        <w:wordWrap w:val="0"/>
      </w:pPr>
      <w:r>
        <w:t xml:space="preserve">双重乳液减糖综述关注甜味递送与体系稳定性</w:t>
      </w:r>
    </w:p>
    <w:p w14:paraId="055A539C" w14:textId="77777777" w:rsidR="00741353" w:rsidRDefault="00AF0D74">
      <w:pPr>
        <w:keepNext/>
        <w:spacing w:line="290" w:lineRule="exact"/>
        <w:wordWrap w:val="0"/>
      </w:pPr>
      <w:r>
        <w:rPr>
          <w:rFonts w:ascii="宋体" w:eastAsia="宋体" w:hAnsi="宋体" w:cs="宋体"/>
          <w:color w:val="555555"/>
          <w:sz w:val="19"/>
          <w:szCs w:val="19"/>
        </w:rPr>
        <w:t xml:space="preserve">中国内地｜研究机构公开日期2026年9月29日</w:t>
      </w:r>
    </w:p>
    <w:p w14:paraId="75463394" w14:textId="77777777" w:rsidR="00741353" w:rsidRDefault="00AF0D74">
      <w:pPr>
        <w:keepNext/>
        <w:spacing w:line="360" w:lineRule="exact"/>
        <w:ind w:firstLine="480"/>
        <w:wordWrap w:val="0"/>
        <w:keepLines w:val="1"/>
      </w:pPr>
      <w:r>
        <w:t xml:space="preserve">中国农业科学院农产品加工研究所9月29日介绍基于W/O/W双重乳液的食品减糖研究综述，关注甜味分布、界面构筑、食品级颗粒稳定及风味递送，同时指出内相渗漏、液滴聚结、风味损失与加工相容性等转化问题。机构列示论文DOI为10.1016/j.tifs.2026.106107。</w:t>
      </w:r>
    </w:p>
    <w:p w14:paraId="75463394" w14:textId="77777777" w:rsidR="00741353" w:rsidRDefault="00AF0D74">
      <w:pPr>
        <w:keepNext/>
        <w:spacing w:line="360" w:lineRule="exact"/>
        <w:ind w:firstLine="480"/>
        <w:wordWrap w:val="0"/>
        <w:keepLines w:val="1"/>
      </w:pPr>
      <w:r>
        <w:t xml:space="preserve">技术关注：本条属于机构研究传播，不提供商业减糖比例或替代甜味剂许可结论。配方团队可将乳液结构和感官验证结合，评估减糖目标与稳定性的约束，并逐一核对实际使用的乳化、稳定配料及宣称要求。论文全文尚未独立评价，也不认定其首次发表时间在本窗口。</w:t>
      </w:r>
    </w:p>
    <w:p w14:paraId="21359F8A" w14:textId="7BCCA01E" w:rsidR="00741353" w:rsidRDefault="00AF0D74">
      <w:pPr>
        <w:spacing w:after="160" w:line="280" w:lineRule="exact"/>
      </w:pPr>
      <w:r>
        <w:rPr>
          <w:rFonts w:ascii="宋体" w:eastAsia="宋体" w:hAnsi="宋体" w:cs="宋体"/>
          <w:color w:val="555555"/>
          <w:sz w:val="19"/>
          <w:szCs w:val="19"/>
        </w:rPr>
        <w:t xml:space="preserve">来源 </w:t>
      </w:r>
      <w:hyperlink r:id="rIdNewsletterSource5">
        <w:r>
          <w:rPr>
            <w:rFonts w:ascii="宋体" w:eastAsia="宋体" w:hAnsi="宋体" w:cs="宋体"/>
            <w:color w:val="245D83"/>
            <w:sz w:val="19"/>
            <w:szCs w:val="19"/>
            <w:u w:val="single"/>
          </w:rPr>
          <w:t>中国农科院加工所：W/O/W乳液食品减糖策略研究进展</w:t>
        </w:r>
      </w:hyperlink>
    </w:p>
    <w:p w14:paraId="7234CB7C" w14:textId="77777777" w:rsidR="00741353" w:rsidRDefault="00AF0D74">
      <w:pPr>
        <w:pStyle w:val="21"/>
        <w:spacing w:before="140" w:line="380" w:lineRule="exact"/>
      </w:pPr>
      <w:r>
        <w:t>使用说明</w:t>
      </w:r>
    </w:p>
    <w:p w14:paraId="6E6F4F60" w14:textId="77777777" w:rsidR="00741353" w:rsidRDefault="00AF0D74">
      <w:pPr>
        <w:spacing w:line="290" w:lineRule="exact"/>
        <w:wordWrap w:val="0"/>
      </w:pPr>
      <w:r>
        <w:rPr>
          <w:sz w:val="21"/>
          <w:szCs w:val="21"/>
        </w:rPr>
        <w:t xml:space="preserve">内部测试版。仅纳入原文和所需附件已核实的条目，未取得合格正文或明确公开日期的候选未纳入。本期研究动态以机构公开介绍为依据，未独立评价论文全文，不代表法规准入或商业效果结论。一般来源存在访问与覆盖局限，空栏不表示本周无更新。</w:t>
      </w:r>
    </w:p>
    <w:sectPr w:rsidR="00741353" w:rsidSect="00034616">
      <w:headerReference w:type="even" r:id="rId25"/>
      <w:headerReference w:type="default" r:id="rId26"/>
      <w:footerReference w:type="even" r:id="rId27"/>
      <w:footerReference w:type="default" r:id="rId28"/>
      <w:headerReference w:type="first" r:id="rId29"/>
      <w:footerReference w:type="first" r:id="rId30"/>
      <w:pgSz w:w="11906" w:h="16838"/>
      <w:pgMar w:top="1020" w:right="1134" w:bottom="964" w:left="1134" w:header="425" w:footer="42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B45706" w14:textId="77777777" w:rsidR="00AF0D74" w:rsidRDefault="00AF0D74">
      <w:pPr>
        <w:spacing w:after="0" w:line="240" w:lineRule="auto"/>
      </w:pPr>
      <w:r>
        <w:separator/>
      </w:r>
    </w:p>
  </w:endnote>
  <w:endnote w:type="continuationSeparator" w:id="0">
    <w:p w14:paraId="0BB8E7FE" w14:textId="77777777" w:rsidR="00AF0D74" w:rsidRDefault="00AF0D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w="http://schemas.openxmlformats.org/wordprocessingml/2006/main">
  <w:font w:name="宋体">
    <w:charset w:val="86"/>
  </w:font>
  <w:font w:name="黑体">
    <w:charset w:val="86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CBA4F8" w14:textId="77777777" w:rsidR="006F4FFB" w:rsidRDefault="006F4FFB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99F7E9" w14:textId="77777777" w:rsidR="00071710" w:rsidRDefault="008A38A6">
    <w:pPr>
      <w:spacing w:line="240" w:lineRule="exact"/>
      <w:jc w:val="right"/>
    </w:pPr>
    <w:r>
      <w:rPr>
        <w:rFonts w:ascii="宋体" w:eastAsia="宋体" w:hAnsi="宋体" w:cs="宋体"/>
        <w:color w:val="555555"/>
        <w:sz w:val="17"/>
        <w:szCs w:val="17"/>
      </w:rPr>
      <w:t xml:space="preserve">食品添加剂行业资讯周报（内部测试版）  第 </w:t>
    </w:r>
    <w:r w:rsidR="00071710">
      <w:rPr>
        <w:rFonts w:ascii="宋体" w:eastAsia="宋体" w:hAnsi="宋体" w:cs="宋体"/>
        <w:color w:val="555555"/>
        <w:sz w:val="17"/>
        <w:szCs w:val="17"/>
      </w:rPr>
      <w:fldChar w:fldCharType="begin"/>
    </w:r>
    <w:r w:rsidR="00071710">
      <w:rPr>
        <w:rFonts w:ascii="宋体" w:eastAsia="宋体" w:hAnsi="宋体" w:cs="宋体"/>
        <w:color w:val="555555"/>
        <w:sz w:val="17"/>
        <w:szCs w:val="17"/>
      </w:rPr>
      <w:instrText>PAGE</w:instrText>
    </w:r>
    <w:r w:rsidR="00071710">
      <w:rPr>
        <w:rFonts w:ascii="宋体" w:eastAsia="宋体" w:hAnsi="宋体" w:cs="宋体"/>
        <w:color w:val="555555"/>
        <w:sz w:val="17"/>
        <w:szCs w:val="17"/>
      </w:rPr>
      <w:fldChar w:fldCharType="separate"/>
    </w:r>
    <w:r w:rsidR="00144C9B">
      <w:rPr>
        <w:rFonts w:ascii="宋体" w:eastAsia="宋体" w:hAnsi="宋体" w:cs="宋体"/>
        <w:noProof/>
        <w:color w:val="555555"/>
        <w:sz w:val="17"/>
        <w:szCs w:val="17"/>
      </w:rPr>
      <w:t>1</w:t>
    </w:r>
    <w:r w:rsidR="00071710">
      <w:rPr>
        <w:rFonts w:ascii="宋体" w:eastAsia="宋体" w:hAnsi="宋体" w:cs="宋体"/>
        <w:color w:val="555555"/>
        <w:sz w:val="17"/>
        <w:szCs w:val="17"/>
      </w:rPr>
      <w:fldChar w:fldCharType="end"/>
    </w:r>
    <w:r>
      <w:rPr>
        <w:rFonts w:ascii="宋体" w:eastAsia="宋体" w:hAnsi="宋体" w:cs="宋体"/>
        <w:color w:val="555555"/>
        <w:sz w:val="17"/>
        <w:szCs w:val="17"/>
      </w:rPr>
      <w:t xml:space="preserve"> 页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F45EE6" w14:textId="77777777" w:rsidR="006F4FFB" w:rsidRDefault="006F4FFB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212EAF" w14:textId="77777777" w:rsidR="00AF0D74" w:rsidRDefault="00AF0D74">
      <w:pPr>
        <w:spacing w:after="0" w:line="240" w:lineRule="auto"/>
      </w:pPr>
      <w:r>
        <w:separator/>
      </w:r>
    </w:p>
  </w:footnote>
  <w:footnote w:type="continuationSeparator" w:id="0">
    <w:p w14:paraId="01EFFB83" w14:textId="77777777" w:rsidR="00AF0D74" w:rsidRDefault="00AF0D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63C5E0" w14:textId="77777777" w:rsidR="006F4FFB" w:rsidRDefault="006F4FFB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3AEF97" w14:textId="77777777" w:rsidR="00071710" w:rsidRDefault="00071710">
    <w:pPr>
      <w:pStyle w:val="a5"/>
      <w:spacing w:line="240" w:lineRule="exac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6D9213" w14:textId="77777777" w:rsidR="006F4FFB" w:rsidRDefault="006F4FFB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宋体" w:eastAsia="宋体" w:hAnsi="宋体" w:cs="宋体" w:hint="eastAsia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宋体" w:eastAsia="宋体" w:hAnsi="宋体" w:cs="宋体" w:hint="eastAsia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宋体" w:eastAsia="宋体" w:hAnsi="宋体" w:cs="宋体" w:hint="eastAsia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宋体" w:eastAsia="宋体" w:hAnsi="宋体" w:cs="宋体" w:hint="eastAsia"/>
      </w:rPr>
    </w:lvl>
  </w:abstractNum>
  <w:num w:numId="1" w16cid:durableId="1450274729">
    <w:abstractNumId w:val="8"/>
  </w:num>
  <w:num w:numId="2" w16cid:durableId="33821294">
    <w:abstractNumId w:val="6"/>
  </w:num>
  <w:num w:numId="3" w16cid:durableId="657615895">
    <w:abstractNumId w:val="5"/>
  </w:num>
  <w:num w:numId="4" w16cid:durableId="100497808">
    <w:abstractNumId w:val="4"/>
  </w:num>
  <w:num w:numId="5" w16cid:durableId="540869003">
    <w:abstractNumId w:val="7"/>
  </w:num>
  <w:num w:numId="6" w16cid:durableId="9527193">
    <w:abstractNumId w:val="3"/>
  </w:num>
  <w:num w:numId="7" w16cid:durableId="1123765509">
    <w:abstractNumId w:val="2"/>
  </w:num>
  <w:num w:numId="8" w16cid:durableId="1083721945">
    <w:abstractNumId w:val="1"/>
  </w:num>
  <w:num w:numId="9" w16cid:durableId="14187929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hideSpellingErrors w:val="true"/>
  <w:zoom w:percent="100"/>
  <w:bordersDoNotSurroundHeader/>
  <w:bordersDoNotSurroundFooter/>
  <w:hideGrammaticalErrors w:val="true"/>
  <w:revisionView w:markup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1155C"/>
    <w:rsid w:val="00034616"/>
    <w:rsid w:val="0006063C"/>
    <w:rsid w:val="00071710"/>
    <w:rsid w:val="00144C9B"/>
    <w:rsid w:val="0015074B"/>
    <w:rsid w:val="00192115"/>
    <w:rsid w:val="0029639D"/>
    <w:rsid w:val="00326F90"/>
    <w:rsid w:val="005E45C4"/>
    <w:rsid w:val="006F4FFB"/>
    <w:rsid w:val="00741353"/>
    <w:rsid w:val="00870DE8"/>
    <w:rsid w:val="008A38A6"/>
    <w:rsid w:val="00962205"/>
    <w:rsid w:val="00AA1D8D"/>
    <w:rsid w:val="00AE4301"/>
    <w:rsid w:val="00AF0D74"/>
    <w:rsid w:val="00B47730"/>
    <w:rsid w:val="00C42746"/>
    <w:rsid w:val="00C6280B"/>
    <w:rsid w:val="00CB0664"/>
    <w:rsid w:val="00F2417D"/>
    <w:rsid w:val="00F7750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7DC731B"/>
  <w14:defaultImageDpi w14:val="330"/>
  <w15:docId w15:val="{E17F98DE-E812-4396-81C7-FF1712B34E39}"/>
  <w:embedTrueTypeFonts w:val="false"/>
  <w:embedSystemFonts w:val="false"/>
  <w:saveSubsetFonts w:val="fals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宋体" w:eastAsia="宋体" w:hAnsi="宋体" w:cs="宋体" w:hint="eastAsia"/>
        <w:color w:val="000000"/>
        <w:sz w:val="24"/>
        <w:szCs w:val="24"/>
        <w:lang w:val="zh-CN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napToGrid w:val="0"/>
      <w:spacing w:after="80" w:line="308" w:lineRule="exact"/>
    </w:p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220" w:line="420" w:lineRule="exact"/>
      <w:outlineLvl w:val="0"/>
    </w:pPr>
    <w:rPr>
      <w:rFonts w:ascii="黑体" w:eastAsia="黑体" w:hAnsi="黑体" w:cs="黑体"/>
      <w:b/>
      <w:bCs/>
      <w:sz w:val="30"/>
      <w:szCs w:val="30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20" w:line="336" w:lineRule="exact"/>
      <w:outlineLvl w:val="1"/>
    </w:pPr>
    <w:rPr>
      <w:rFonts w:ascii="黑体" w:eastAsia="黑体" w:hAnsi="黑体" w:cs="黑体"/>
      <w:b/>
      <w:bCs/>
      <w:sz w:val="25"/>
      <w:szCs w:val="25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="黑体" w:eastAsia="黑体" w:hAnsi="黑体" w:cs="黑体"/>
      <w:b/>
      <w:bCs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="黑体" w:eastAsia="黑体" w:hAnsi="黑体" w:cs="黑体"/>
      <w:b/>
      <w:bCs/>
      <w:iCs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="宋体" w:eastAsia="宋体" w:hAnsi="宋体" w:cs="宋体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="宋体" w:eastAsia="宋体" w:hAnsi="宋体" w:cs="宋体"/>
      <w:iCs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="宋体" w:eastAsia="宋体" w:hAnsi="宋体" w:cs="宋体"/>
      <w:iCs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="宋体" w:eastAsia="宋体" w:hAnsi="宋体" w:cs="宋体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="宋体" w:eastAsia="宋体" w:hAnsi="宋体" w:cs="宋体"/>
      <w:iCs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页眉 字符"/>
    <w:basedOn w:val="a2"/>
    <w:link w:val="a5"/>
    <w:uiPriority w:val="99"/>
    <w:rsid w:val="00E618BF"/>
    <w:rPr>
      <w:rFonts w:ascii="宋体" w:eastAsia="宋体" w:hAnsi="宋体" w:cs="宋体" w:hint="eastAsia"/>
      <w:i w:val="0"/>
      <w:color w:val="000000"/>
      <w:lang w:val="zh-CN" w:eastAsia="zh-CN"/>
    </w:rPr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页脚 字符"/>
    <w:basedOn w:val="a2"/>
    <w:link w:val="a7"/>
    <w:uiPriority w:val="99"/>
    <w:rsid w:val="00E618BF"/>
    <w:rPr>
      <w:rFonts w:ascii="宋体" w:eastAsia="宋体" w:hAnsi="宋体" w:cs="宋体" w:hint="eastAsia"/>
      <w:i w:val="0"/>
      <w:color w:val="000000"/>
      <w:lang w:val="zh-CN" w:eastAsia="zh-CN"/>
    </w:rPr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标题 1 字符"/>
    <w:basedOn w:val="a2"/>
    <w:link w:val="1"/>
    <w:uiPriority w:val="9"/>
    <w:rsid w:val="00FC693F"/>
    <w:rPr>
      <w:rFonts w:ascii="黑体" w:eastAsia="黑体" w:hAnsi="黑体" w:cs="黑体" w:hint="eastAsia"/>
      <w:b/>
      <w:bCs/>
      <w:i w:val="0"/>
      <w:color w:val="000000"/>
      <w:sz w:val="28"/>
      <w:szCs w:val="28"/>
      <w:lang w:val="zh-CN" w:eastAsia="zh-CN"/>
    </w:rPr>
  </w:style>
  <w:style w:type="character" w:customStyle="1" w:styleId="22">
    <w:name w:val="标题 2 字符"/>
    <w:basedOn w:val="a2"/>
    <w:link w:val="21"/>
    <w:uiPriority w:val="9"/>
    <w:rsid w:val="00FC693F"/>
    <w:rPr>
      <w:rFonts w:ascii="黑体" w:eastAsia="黑体" w:hAnsi="黑体" w:cs="黑体" w:hint="eastAsia"/>
      <w:b/>
      <w:bCs/>
      <w:i w:val="0"/>
      <w:color w:val="000000"/>
      <w:sz w:val="26"/>
      <w:szCs w:val="26"/>
      <w:lang w:val="zh-CN" w:eastAsia="zh-CN"/>
    </w:rPr>
  </w:style>
  <w:style w:type="character" w:customStyle="1" w:styleId="32">
    <w:name w:val="标题 3 字符"/>
    <w:basedOn w:val="a2"/>
    <w:link w:val="31"/>
    <w:uiPriority w:val="9"/>
    <w:rsid w:val="00FC693F"/>
    <w:rPr>
      <w:rFonts w:ascii="黑体" w:eastAsia="黑体" w:hAnsi="黑体" w:cs="黑体" w:hint="eastAsia"/>
      <w:b/>
      <w:bCs/>
      <w:i w:val="0"/>
      <w:color w:val="000000"/>
      <w:lang w:val="zh-CN" w:eastAsia="zh-CN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spacing w:line="700" w:lineRule="exact"/>
      <w:contextualSpacing/>
    </w:pPr>
    <w:rPr>
      <w:rFonts w:ascii="黑体" w:eastAsia="黑体" w:hAnsi="黑体" w:cs="黑体"/>
      <w:b/>
      <w:bCs/>
      <w:sz w:val="46"/>
      <w:szCs w:val="46"/>
    </w:rPr>
  </w:style>
  <w:style w:type="character" w:customStyle="1" w:styleId="ab">
    <w:name w:val="标题 字符"/>
    <w:basedOn w:val="a2"/>
    <w:link w:val="aa"/>
    <w:uiPriority w:val="10"/>
    <w:rsid w:val="00FC693F"/>
    <w:rPr>
      <w:rFonts w:ascii="宋体" w:eastAsia="宋体" w:hAnsi="宋体" w:cs="宋体" w:hint="eastAsia"/>
      <w:i w:val="0"/>
      <w:color w:val="000000"/>
      <w:sz w:val="52"/>
      <w:szCs w:val="52"/>
      <w:lang w:val="zh-CN" w:eastAsia="zh-CN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="宋体" w:eastAsia="宋体" w:hAnsi="宋体" w:cs="宋体"/>
      <w:iCs/>
      <w:sz w:val="22"/>
      <w:szCs w:val="22"/>
    </w:rPr>
  </w:style>
  <w:style w:type="character" w:customStyle="1" w:styleId="ad">
    <w:name w:val="副标题 字符"/>
    <w:basedOn w:val="a2"/>
    <w:link w:val="ac"/>
    <w:uiPriority w:val="11"/>
    <w:rsid w:val="00FC693F"/>
    <w:rPr>
      <w:rFonts w:ascii="宋体" w:eastAsia="宋体" w:hAnsi="宋体" w:cs="宋体" w:hint="eastAsia"/>
      <w:i w:val="0"/>
      <w:iCs/>
      <w:color w:val="000000"/>
      <w:sz w:val="24"/>
      <w:szCs w:val="24"/>
      <w:lang w:val="zh-CN" w:eastAsia="zh-CN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</w:style>
  <w:style w:type="character" w:customStyle="1" w:styleId="af0">
    <w:name w:val="正文文本 字符"/>
    <w:basedOn w:val="a2"/>
    <w:link w:val="af"/>
    <w:uiPriority w:val="99"/>
    <w:rsid w:val="00AA1D8D"/>
    <w:rPr>
      <w:rFonts w:ascii="宋体" w:eastAsia="宋体" w:hAnsi="宋体" w:cs="宋体" w:hint="eastAsia"/>
      <w:i w:val="0"/>
      <w:color w:val="000000"/>
      <w:lang w:val="zh-CN" w:eastAsia="zh-CN"/>
    </w:rPr>
  </w:style>
  <w:style w:type="paragraph" w:styleId="23">
    <w:name w:val="Body Text 2"/>
    <w:basedOn w:val="a1"/>
    <w:link w:val="24"/>
    <w:uiPriority w:val="99"/>
    <w:unhideWhenUsed/>
    <w:rsid w:val="00AA1D8D"/>
    <w:pPr>
      <w:spacing w:line="480" w:lineRule="auto"/>
    </w:pPr>
  </w:style>
  <w:style w:type="character" w:customStyle="1" w:styleId="24">
    <w:name w:val="正文文本 2 字符"/>
    <w:basedOn w:val="a2"/>
    <w:link w:val="23"/>
    <w:uiPriority w:val="99"/>
    <w:rsid w:val="00AA1D8D"/>
    <w:rPr>
      <w:rFonts w:ascii="宋体" w:eastAsia="宋体" w:hAnsi="宋体" w:cs="宋体" w:hint="eastAsia"/>
      <w:i w:val="0"/>
      <w:color w:val="000000"/>
      <w:lang w:val="zh-CN" w:eastAsia="zh-CN"/>
    </w:rPr>
  </w:style>
  <w:style w:type="paragraph" w:styleId="33">
    <w:name w:val="Body Text 3"/>
    <w:basedOn w:val="a1"/>
    <w:link w:val="34"/>
    <w:uiPriority w:val="99"/>
    <w:unhideWhenUsed/>
    <w:rsid w:val="00AA1D8D"/>
    <w:rPr>
      <w:sz w:val="16"/>
      <w:szCs w:val="16"/>
    </w:rPr>
  </w:style>
  <w:style w:type="character" w:customStyle="1" w:styleId="34">
    <w:name w:val="正文文本 3 字符"/>
    <w:basedOn w:val="a2"/>
    <w:link w:val="33"/>
    <w:uiPriority w:val="99"/>
    <w:rsid w:val="00AA1D8D"/>
    <w:rPr>
      <w:rFonts w:ascii="宋体" w:eastAsia="宋体" w:hAnsi="宋体" w:cs="宋体" w:hint="eastAsia"/>
      <w:i w:val="0"/>
      <w:color w:val="000000"/>
      <w:sz w:val="16"/>
      <w:szCs w:val="16"/>
      <w:lang w:val="zh-CN" w:eastAsia="zh-CN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sz w:val="20"/>
      <w:szCs w:val="20"/>
    </w:rPr>
  </w:style>
  <w:style w:type="character" w:customStyle="1" w:styleId="af4">
    <w:name w:val="宏文本 字符"/>
    <w:basedOn w:val="a2"/>
    <w:link w:val="af3"/>
    <w:uiPriority w:val="99"/>
    <w:rsid w:val="0029639D"/>
    <w:rPr>
      <w:rFonts w:ascii="宋体" w:eastAsia="宋体" w:hAnsi="宋体" w:cs="宋体" w:hint="eastAsia"/>
      <w:i w:val="0"/>
      <w:color w:val="000000"/>
      <w:sz w:val="20"/>
      <w:szCs w:val="20"/>
      <w:lang w:val="zh-CN" w:eastAsia="zh-CN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Cs/>
    </w:rPr>
  </w:style>
  <w:style w:type="character" w:customStyle="1" w:styleId="af6">
    <w:name w:val="引用 字符"/>
    <w:basedOn w:val="a2"/>
    <w:link w:val="af5"/>
    <w:uiPriority w:val="29"/>
    <w:rsid w:val="00FC693F"/>
    <w:rPr>
      <w:rFonts w:ascii="宋体" w:eastAsia="宋体" w:hAnsi="宋体" w:cs="宋体" w:hint="eastAsia"/>
      <w:i w:val="0"/>
      <w:iCs/>
      <w:color w:val="000000"/>
      <w:lang w:val="zh-CN" w:eastAsia="zh-CN"/>
    </w:rPr>
  </w:style>
  <w:style w:type="character" w:customStyle="1" w:styleId="40">
    <w:name w:val="标题 4 字符"/>
    <w:basedOn w:val="a2"/>
    <w:link w:val="4"/>
    <w:uiPriority w:val="9"/>
    <w:semiHidden/>
    <w:rsid w:val="00FC693F"/>
    <w:rPr>
      <w:rFonts w:ascii="黑体" w:eastAsia="黑体" w:hAnsi="黑体" w:cs="黑体" w:hint="eastAsia"/>
      <w:b/>
      <w:bCs/>
      <w:i w:val="0"/>
      <w:iCs/>
      <w:color w:val="000000"/>
      <w:lang w:val="zh-CN" w:eastAsia="zh-CN"/>
    </w:rPr>
  </w:style>
  <w:style w:type="character" w:customStyle="1" w:styleId="50">
    <w:name w:val="标题 5 字符"/>
    <w:basedOn w:val="a2"/>
    <w:link w:val="5"/>
    <w:uiPriority w:val="9"/>
    <w:semiHidden/>
    <w:rsid w:val="00FC693F"/>
    <w:rPr>
      <w:rFonts w:ascii="宋体" w:eastAsia="宋体" w:hAnsi="宋体" w:cs="宋体" w:hint="eastAsia"/>
      <w:i w:val="0"/>
      <w:color w:val="000000"/>
      <w:lang w:val="zh-CN" w:eastAsia="zh-CN"/>
    </w:rPr>
  </w:style>
  <w:style w:type="character" w:customStyle="1" w:styleId="60">
    <w:name w:val="标题 6 字符"/>
    <w:basedOn w:val="a2"/>
    <w:link w:val="6"/>
    <w:uiPriority w:val="9"/>
    <w:semiHidden/>
    <w:rsid w:val="00FC693F"/>
    <w:rPr>
      <w:rFonts w:ascii="宋体" w:eastAsia="宋体" w:hAnsi="宋体" w:cs="宋体" w:hint="eastAsia"/>
      <w:i w:val="0"/>
      <w:iCs/>
      <w:color w:val="000000"/>
      <w:lang w:val="zh-CN" w:eastAsia="zh-CN"/>
    </w:rPr>
  </w:style>
  <w:style w:type="character" w:customStyle="1" w:styleId="70">
    <w:name w:val="标题 7 字符"/>
    <w:basedOn w:val="a2"/>
    <w:link w:val="7"/>
    <w:uiPriority w:val="9"/>
    <w:semiHidden/>
    <w:rsid w:val="00FC693F"/>
    <w:rPr>
      <w:rFonts w:ascii="宋体" w:eastAsia="宋体" w:hAnsi="宋体" w:cs="宋体" w:hint="eastAsia"/>
      <w:i w:val="0"/>
      <w:iCs/>
      <w:color w:val="000000"/>
      <w:lang w:val="zh-CN" w:eastAsia="zh-CN"/>
    </w:rPr>
  </w:style>
  <w:style w:type="character" w:customStyle="1" w:styleId="80">
    <w:name w:val="标题 8 字符"/>
    <w:basedOn w:val="a2"/>
    <w:link w:val="8"/>
    <w:uiPriority w:val="9"/>
    <w:semiHidden/>
    <w:rsid w:val="00FC693F"/>
    <w:rPr>
      <w:rFonts w:ascii="宋体" w:eastAsia="宋体" w:hAnsi="宋体" w:cs="宋体" w:hint="eastAsia"/>
      <w:i w:val="0"/>
      <w:color w:val="000000"/>
      <w:sz w:val="20"/>
      <w:szCs w:val="20"/>
      <w:lang w:val="zh-CN" w:eastAsia="zh-CN"/>
    </w:rPr>
  </w:style>
  <w:style w:type="character" w:customStyle="1" w:styleId="90">
    <w:name w:val="标题 9 字符"/>
    <w:basedOn w:val="a2"/>
    <w:link w:val="9"/>
    <w:uiPriority w:val="9"/>
    <w:semiHidden/>
    <w:rsid w:val="00FC693F"/>
    <w:rPr>
      <w:rFonts w:ascii="宋体" w:eastAsia="宋体" w:hAnsi="宋体" w:cs="宋体" w:hint="eastAsia"/>
      <w:i w:val="0"/>
      <w:iCs/>
      <w:color w:val="000000"/>
      <w:sz w:val="20"/>
      <w:szCs w:val="20"/>
      <w:lang w:val="zh-CN" w:eastAsia="zh-CN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rFonts w:ascii="黑体" w:eastAsia="黑体" w:hAnsi="黑体" w:cs="黑体" w:hint="eastAsia"/>
      <w:b/>
      <w:bCs/>
      <w:i w:val="0"/>
      <w:color w:val="000000"/>
      <w:lang w:val="zh-CN" w:eastAsia="zh-CN"/>
    </w:rPr>
  </w:style>
  <w:style w:type="character" w:styleId="af9">
    <w:name w:val="Emphasis"/>
    <w:basedOn w:val="a2"/>
    <w:uiPriority w:val="20"/>
    <w:qFormat/>
    <w:rsid w:val="00FC693F"/>
    <w:rPr>
      <w:rFonts w:ascii="宋体" w:eastAsia="宋体" w:hAnsi="宋体" w:cs="宋体" w:hint="eastAsia"/>
      <w:i w:val="0"/>
      <w:iCs/>
      <w:color w:val="000000"/>
      <w:lang w:val="zh-CN" w:eastAsia="zh-CN"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spacing w:before="200" w:after="280"/>
      <w:ind w:left="936" w:right="936"/>
    </w:pPr>
    <w:rPr>
      <w:b/>
      <w:bCs/>
      <w:iCs/>
    </w:rPr>
  </w:style>
  <w:style w:type="character" w:customStyle="1" w:styleId="afb">
    <w:name w:val="明显引用 字符"/>
    <w:basedOn w:val="a2"/>
    <w:link w:val="afa"/>
    <w:uiPriority w:val="30"/>
    <w:rsid w:val="00FC693F"/>
    <w:rPr>
      <w:rFonts w:ascii="黑体" w:eastAsia="黑体" w:hAnsi="黑体" w:cs="黑体" w:hint="eastAsia"/>
      <w:b/>
      <w:bCs/>
      <w:i w:val="0"/>
      <w:iCs/>
      <w:color w:val="000000"/>
      <w:lang w:val="zh-CN" w:eastAsia="zh-CN"/>
    </w:rPr>
  </w:style>
  <w:style w:type="character" w:styleId="afc">
    <w:name w:val="Subtle Emphasis"/>
    <w:basedOn w:val="a2"/>
    <w:uiPriority w:val="19"/>
    <w:qFormat/>
    <w:rsid w:val="00FC693F"/>
    <w:rPr>
      <w:rFonts w:ascii="宋体" w:eastAsia="宋体" w:hAnsi="宋体" w:cs="宋体" w:hint="eastAsia"/>
      <w:i w:val="0"/>
      <w:iCs/>
      <w:color w:val="000000"/>
      <w:lang w:val="zh-CN" w:eastAsia="zh-CN"/>
    </w:rPr>
  </w:style>
  <w:style w:type="character" w:styleId="afd">
    <w:name w:val="Intense Emphasis"/>
    <w:basedOn w:val="a2"/>
    <w:uiPriority w:val="21"/>
    <w:qFormat/>
    <w:rsid w:val="00FC693F"/>
    <w:rPr>
      <w:rFonts w:ascii="黑体" w:eastAsia="黑体" w:hAnsi="黑体" w:cs="黑体" w:hint="eastAsia"/>
      <w:b/>
      <w:bCs/>
      <w:i w:val="0"/>
      <w:iCs/>
      <w:color w:val="000000"/>
      <w:lang w:val="zh-CN" w:eastAsia="zh-CN"/>
    </w:rPr>
  </w:style>
  <w:style w:type="character" w:styleId="afe">
    <w:name w:val="Subtle Reference"/>
    <w:basedOn w:val="a2"/>
    <w:uiPriority w:val="31"/>
    <w:qFormat/>
    <w:rsid w:val="00FC693F"/>
    <w:rPr>
      <w:rFonts w:ascii="宋体" w:eastAsia="宋体" w:hAnsi="宋体" w:cs="宋体" w:hint="eastAsia"/>
      <w:i w:val="0"/>
      <w:smallCaps/>
      <w:color w:val="000000"/>
      <w:u w:val="single"/>
      <w:lang w:val="zh-CN" w:eastAsia="zh-CN"/>
    </w:rPr>
  </w:style>
  <w:style w:type="character" w:styleId="aff">
    <w:name w:val="Intense Reference"/>
    <w:basedOn w:val="a2"/>
    <w:uiPriority w:val="32"/>
    <w:qFormat/>
    <w:rsid w:val="00FC693F"/>
    <w:rPr>
      <w:rFonts w:ascii="黑体" w:eastAsia="黑体" w:hAnsi="黑体" w:cs="黑体" w:hint="eastAsia"/>
      <w:b/>
      <w:bCs/>
      <w:i w:val="0"/>
      <w:smallCaps/>
      <w:color w:val="000000"/>
      <w:u w:val="single"/>
      <w:lang w:val="zh-CN" w:eastAsia="zh-CN"/>
    </w:rPr>
  </w:style>
  <w:style w:type="character" w:styleId="aff0">
    <w:name w:val="Book Title"/>
    <w:basedOn w:val="a2"/>
    <w:uiPriority w:val="33"/>
    <w:qFormat/>
    <w:rsid w:val="00FC693F"/>
    <w:rPr>
      <w:rFonts w:ascii="黑体" w:eastAsia="黑体" w:hAnsi="黑体" w:cs="黑体" w:hint="eastAsia"/>
      <w:b/>
      <w:bCs/>
      <w:i w:val="0"/>
      <w:smallCaps/>
      <w:color w:val="000000"/>
      <w:lang w:val="zh-CN" w:eastAsia="zh-CN"/>
    </w:rPr>
  </w:style>
  <w:style w:type="paragraph" w:styleId="TOC">
    <w:name w:val="TOC Heading"/>
    <w:basedOn w:val="1"/>
    <w:next w:val="a1"/>
    <w:uiPriority w:val="39"/>
    <w:semiHidden/>
    <w:unhideWhenUsed/>
    <w:qFormat/>
    <w:rsid w:val="00FC693F"/>
    <w:pPr>
      <w:outlineLvl w:val="9"/>
    </w:pPr>
    <w:rPr>
      <w:rFonts w:ascii="宋体" w:eastAsia="宋体" w:hAnsi="宋体" w:cs="宋体"/>
    </w:rPr>
  </w:style>
  <w:style w:type="table" w:styleId="aff1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2">
    <w:name w:val="Light Shading"/>
    <w:basedOn w:val="a3"/>
    <w:uiPriority w:val="60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</w:tcPr>
    </w:tblStylePr>
  </w:style>
  <w:style w:type="table" w:styleId="aff3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4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="黑体" w:eastAsia="黑体" w:hAnsi="黑体" w:cs="黑体" w:hint="eastAsia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="黑体" w:eastAsia="黑体" w:hAnsi="黑体" w:cs="黑体" w:hint="eastAsia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="黑体" w:eastAsia="黑体" w:hAnsi="黑体" w:cs="黑体" w:hint="eastAsia"/>
        <w:b/>
        <w:bCs/>
      </w:rPr>
    </w:tblStylePr>
    <w:tblStylePr w:type="lastCol">
      <w:rPr>
        <w:rFonts w:ascii="黑体" w:eastAsia="黑体" w:hAnsi="黑体" w:cs="黑体" w:hint="eastAsia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="黑体" w:eastAsia="黑体" w:hAnsi="黑体" w:cs="黑体" w:hint="eastAsia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="黑体" w:eastAsia="黑体" w:hAnsi="黑体" w:cs="黑体" w:hint="eastAsia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="黑体" w:eastAsia="黑体" w:hAnsi="黑体" w:cs="黑体" w:hint="eastAsia"/>
        <w:b/>
        <w:bCs/>
      </w:rPr>
    </w:tblStylePr>
    <w:tblStylePr w:type="lastCol">
      <w:rPr>
        <w:rFonts w:ascii="黑体" w:eastAsia="黑体" w:hAnsi="黑体" w:cs="黑体" w:hint="eastAsia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="黑体" w:eastAsia="黑体" w:hAnsi="黑体" w:cs="黑体" w:hint="eastAsia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="黑体" w:eastAsia="黑体" w:hAnsi="黑体" w:cs="黑体" w:hint="eastAsia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="黑体" w:eastAsia="黑体" w:hAnsi="黑体" w:cs="黑体" w:hint="eastAsia"/>
        <w:b/>
        <w:bCs/>
      </w:rPr>
    </w:tblStylePr>
    <w:tblStylePr w:type="lastCol">
      <w:rPr>
        <w:rFonts w:ascii="黑体" w:eastAsia="黑体" w:hAnsi="黑体" w:cs="黑体" w:hint="eastAsia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="黑体" w:eastAsia="黑体" w:hAnsi="黑体" w:cs="黑体" w:hint="eastAsia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="黑体" w:eastAsia="黑体" w:hAnsi="黑体" w:cs="黑体" w:hint="eastAsia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="黑体" w:eastAsia="黑体" w:hAnsi="黑体" w:cs="黑体" w:hint="eastAsia"/>
        <w:b/>
        <w:bCs/>
      </w:rPr>
    </w:tblStylePr>
    <w:tblStylePr w:type="lastCol">
      <w:rPr>
        <w:rFonts w:ascii="黑体" w:eastAsia="黑体" w:hAnsi="黑体" w:cs="黑体" w:hint="eastAsia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="黑体" w:eastAsia="黑体" w:hAnsi="黑体" w:cs="黑体" w:hint="eastAsia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="黑体" w:eastAsia="黑体" w:hAnsi="黑体" w:cs="黑体" w:hint="eastAsia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="黑体" w:eastAsia="黑体" w:hAnsi="黑体" w:cs="黑体" w:hint="eastAsia"/>
        <w:b/>
        <w:bCs/>
      </w:rPr>
    </w:tblStylePr>
    <w:tblStylePr w:type="lastCol">
      <w:rPr>
        <w:rFonts w:ascii="黑体" w:eastAsia="黑体" w:hAnsi="黑体" w:cs="黑体" w:hint="eastAsia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="黑体" w:eastAsia="黑体" w:hAnsi="黑体" w:cs="黑体" w:hint="eastAsia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="黑体" w:eastAsia="黑体" w:hAnsi="黑体" w:cs="黑体" w:hint="eastAsia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="黑体" w:eastAsia="黑体" w:hAnsi="黑体" w:cs="黑体" w:hint="eastAsia"/>
        <w:b/>
        <w:bCs/>
      </w:rPr>
    </w:tblStylePr>
    <w:tblStylePr w:type="lastCol">
      <w:rPr>
        <w:rFonts w:ascii="黑体" w:eastAsia="黑体" w:hAnsi="黑体" w:cs="黑体" w:hint="eastAsia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="黑体" w:eastAsia="黑体" w:hAnsi="黑体" w:cs="黑体" w:hint="eastAsia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="黑体" w:eastAsia="黑体" w:hAnsi="黑体" w:cs="黑体" w:hint="eastAsia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="黑体" w:eastAsia="黑体" w:hAnsi="黑体" w:cs="黑体" w:hint="eastAsia"/>
        <w:b/>
        <w:bCs/>
      </w:rPr>
    </w:tblStylePr>
    <w:tblStylePr w:type="lastCol">
      <w:rPr>
        <w:rFonts w:ascii="黑体" w:eastAsia="黑体" w:hAnsi="黑体" w:cs="黑体" w:hint="eastAsia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Horz">
      <w:tblPr/>
      <w:tcPr>
        <w:tcBorders>
          <w:insideH w:val="nil"/>
          <w:insideV w:val="nil"/>
        </w:tcBorders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Horz">
      <w:tblPr/>
      <w:tcPr>
        <w:tcBorders>
          <w:insideH w:val="nil"/>
          <w:insideV w:val="nil"/>
        </w:tcBorders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Horz">
      <w:tblPr/>
      <w:tcPr>
        <w:tcBorders>
          <w:insideH w:val="nil"/>
          <w:insideV w:val="nil"/>
        </w:tcBorders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Horz">
      <w:tblPr/>
      <w:tcPr>
        <w:tcBorders>
          <w:insideH w:val="nil"/>
          <w:insideV w:val="nil"/>
        </w:tcBorders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Horz">
      <w:tblPr/>
      <w:tcPr>
        <w:tcBorders>
          <w:insideH w:val="nil"/>
          <w:insideV w:val="nil"/>
        </w:tcBorders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Horz">
      <w:tblPr/>
      <w:tcPr>
        <w:tcBorders>
          <w:insideH w:val="nil"/>
          <w:insideV w:val="nil"/>
        </w:tcBorders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Horz">
      <w:tblPr/>
      <w:tcPr>
        <w:tcBorders>
          <w:insideH w:val="nil"/>
          <w:insideV w:val="nil"/>
        </w:tcBorders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="宋体" w:eastAsia="宋体" w:hAnsi="宋体" w:cs="宋体" w:hint="eastAsia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="宋体" w:eastAsia="宋体" w:hAnsi="宋体" w:cs="宋体" w:hint="eastAsia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="宋体" w:eastAsia="宋体" w:hAnsi="宋体" w:cs="宋体" w:hint="eastAsia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="宋体" w:eastAsia="宋体" w:hAnsi="宋体" w:cs="宋体" w:hint="eastAsia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="宋体" w:eastAsia="宋体" w:hAnsi="宋体" w:cs="宋体" w:hint="eastAsia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="宋体" w:eastAsia="宋体" w:hAnsi="宋体" w:cs="宋体" w:hint="eastAsia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="宋体" w:eastAsia="宋体" w:hAnsi="宋体" w:cs="宋体" w:hint="eastAsia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rPr>
        <w:b/>
        <w:bCs/>
        <w:color w:val="000000" w:themeColor="text1"/>
      </w:r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rPr>
        <w:b/>
        <w:bCs/>
        <w:color w:val="000000" w:themeColor="text1"/>
      </w:r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rPr>
        <w:b/>
        <w:bCs/>
        <w:color w:val="000000" w:themeColor="text1"/>
      </w:r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rPr>
        <w:b/>
        <w:bCs/>
        <w:color w:val="000000" w:themeColor="text1"/>
      </w:r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rPr>
        <w:b/>
        <w:bCs/>
        <w:color w:val="000000" w:themeColor="text1"/>
      </w:r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rPr>
        <w:b/>
        <w:bCs/>
        <w:color w:val="000000" w:themeColor="text1"/>
      </w:r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rPr>
        <w:b/>
        <w:bCs/>
        <w:color w:val="000000" w:themeColor="text1"/>
      </w:r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</w:tcPr>
    </w:tblStylePr>
  </w:style>
  <w:style w:type="table" w:styleId="aff5">
    <w:name w:val="Dark List"/>
    <w:basedOn w:val="a3"/>
    <w:uiPriority w:val="70"/>
    <w:rsid w:val="00CB066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aff6">
    <w:name w:val="Colorful Shading"/>
    <w:basedOn w:val="a3"/>
    <w:uiPriority w:val="71"/>
    <w:rsid w:val="00CB0664"/>
    <w:pPr>
      <w:spacing w:after="0" w:line="240" w:lineRule="auto"/>
    </w:p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7">
    <w:name w:val="Colorful List"/>
    <w:basedOn w:val="a3"/>
    <w:uiPriority w:val="72"/>
    <w:rsid w:val="00CB066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aff8">
    <w:name w:val="Colorful Grid"/>
    <w:basedOn w:val="a3"/>
    <w:uiPriority w:val="73"/>
    <w:rsid w:val="00CB0664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blStylePr w:type="firstRow">
      <w:rPr>
        <w:b/>
        <w:bCs/>
      </w:rPr>
    </w:tblStylePr>
    <w:tblStylePr w:type="lastRow">
      <w:rPr>
        <w:b/>
        <w:bCs/>
        <w:color w:val="000000" w:themeColor="text1"/>
      </w:rPr>
    </w:tblStylePr>
    <w:tblStylePr w:type="firstCol">
      <w:rPr>
        <w:color w:val="FFFFFF" w:themeColor="background1"/>
      </w:rPr>
    </w:tblStylePr>
    <w:tblStylePr w:type="lastCol">
      <w:rPr>
        <w:color w:val="FFFFFF" w:themeColor="background1"/>
      </w:r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blStylePr w:type="firstRow">
      <w:rPr>
        <w:b/>
        <w:bCs/>
      </w:rPr>
    </w:tblStylePr>
    <w:tblStylePr w:type="lastRow">
      <w:rPr>
        <w:b/>
        <w:bCs/>
        <w:color w:val="000000" w:themeColor="text1"/>
      </w:rPr>
    </w:tblStylePr>
    <w:tblStylePr w:type="firstCol">
      <w:rPr>
        <w:color w:val="FFFFFF" w:themeColor="background1"/>
      </w:rPr>
    </w:tblStylePr>
    <w:tblStylePr w:type="lastCol">
      <w:rPr>
        <w:color w:val="FFFFFF" w:themeColor="background1"/>
      </w:r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blStylePr w:type="firstRow">
      <w:rPr>
        <w:b/>
        <w:bCs/>
      </w:rPr>
    </w:tblStylePr>
    <w:tblStylePr w:type="lastRow">
      <w:rPr>
        <w:b/>
        <w:bCs/>
        <w:color w:val="000000" w:themeColor="text1"/>
      </w:rPr>
    </w:tblStylePr>
    <w:tblStylePr w:type="firstCol">
      <w:rPr>
        <w:color w:val="FFFFFF" w:themeColor="background1"/>
      </w:rPr>
    </w:tblStylePr>
    <w:tblStylePr w:type="lastCol">
      <w:rPr>
        <w:color w:val="FFFFFF" w:themeColor="background1"/>
      </w:r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blStylePr w:type="firstRow">
      <w:rPr>
        <w:b/>
        <w:bCs/>
      </w:rPr>
    </w:tblStylePr>
    <w:tblStylePr w:type="lastRow">
      <w:rPr>
        <w:b/>
        <w:bCs/>
        <w:color w:val="000000" w:themeColor="text1"/>
      </w:rPr>
    </w:tblStylePr>
    <w:tblStylePr w:type="firstCol">
      <w:rPr>
        <w:color w:val="FFFFFF" w:themeColor="background1"/>
      </w:rPr>
    </w:tblStylePr>
    <w:tblStylePr w:type="lastCol">
      <w:rPr>
        <w:color w:val="FFFFFF" w:themeColor="background1"/>
      </w:r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blStylePr w:type="firstRow">
      <w:rPr>
        <w:b/>
        <w:bCs/>
      </w:rPr>
    </w:tblStylePr>
    <w:tblStylePr w:type="lastRow">
      <w:rPr>
        <w:b/>
        <w:bCs/>
        <w:color w:val="000000" w:themeColor="text1"/>
      </w:rPr>
    </w:tblStylePr>
    <w:tblStylePr w:type="firstCol">
      <w:rPr>
        <w:color w:val="FFFFFF" w:themeColor="background1"/>
      </w:rPr>
    </w:tblStylePr>
    <w:tblStylePr w:type="lastCol">
      <w:rPr>
        <w:color w:val="FFFFFF" w:themeColor="background1"/>
      </w:r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blStylePr w:type="firstRow">
      <w:rPr>
        <w:b/>
        <w:bCs/>
      </w:rPr>
    </w:tblStylePr>
    <w:tblStylePr w:type="lastRow">
      <w:rPr>
        <w:b/>
        <w:bCs/>
        <w:color w:val="000000" w:themeColor="text1"/>
      </w:rPr>
    </w:tblStylePr>
    <w:tblStylePr w:type="firstCol">
      <w:rPr>
        <w:color w:val="FFFFFF" w:themeColor="background1"/>
      </w:rPr>
    </w:tblStylePr>
    <w:tblStylePr w:type="lastCol">
      <w:rPr>
        <w:color w:val="FFFFFF" w:themeColor="background1"/>
      </w:r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blStylePr w:type="firstRow">
      <w:rPr>
        <w:b/>
        <w:bCs/>
      </w:rPr>
    </w:tblStylePr>
    <w:tblStylePr w:type="lastRow">
      <w:rPr>
        <w:b/>
        <w:bCs/>
        <w:color w:val="000000" w:themeColor="text1"/>
      </w:rPr>
    </w:tblStylePr>
    <w:tblStylePr w:type="firstCol">
      <w:rPr>
        <w:color w:val="FFFFFF" w:themeColor="background1"/>
      </w:rPr>
    </w:tblStylePr>
    <w:tblStylePr w:type="lastCol">
      <w:rPr>
        <w:color w:val="FFFFFF" w:themeColor="background1"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26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5" Type="http://schemas.openxmlformats.org/officeDocument/2006/relationships/header" Target="header1.xml"/><Relationship Id="rId2" Type="http://schemas.openxmlformats.org/officeDocument/2006/relationships/numbering" Target="numbering.xml"/><Relationship Id="rId29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28" Type="http://schemas.openxmlformats.org/officeDocument/2006/relationships/footer" Target="footer2.xml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27" Type="http://schemas.openxmlformats.org/officeDocument/2006/relationships/footer" Target="footer1.xml"/><Relationship Id="rId30" Type="http://schemas.openxmlformats.org/officeDocument/2006/relationships/footer" Target="footer3.xml"/><Relationship Id="rIdNewsletterSource1" Type="http://schemas.openxmlformats.org/officeDocument/2006/relationships/hyperlink" Target="https://zwfw.nhc.gov.cn/kzx/slgs/sptjjxpzsp/202609/t20260929_3365.html" TargetMode="External"/><Relationship Id="rIdNewsletterSource2" Type="http://schemas.openxmlformats.org/officeDocument/2006/relationships/hyperlink" Target="https://scjgj.sh.gov.cn/922/20260930/2c984ad6a0c9d61b01a0effa211a6ae0.html" TargetMode="External"/><Relationship Id="rIdNewsletterSource3" Type="http://schemas.openxmlformats.org/officeDocument/2006/relationships/hyperlink" Target="https://scjgj.sh.gov.cn/cmsres/a8/a8e92013667244938b996f89482f6064/d6ddc4b6c2cb0dd0a41dbe456b9f5585.xls" TargetMode="External"/><Relationship Id="rIdNewsletterSource4" Type="http://schemas.openxmlformats.org/officeDocument/2006/relationships/hyperlink" Target="https://ifst.caas.cn/xwzx/kyjz/8fcf4fd23a22407397cf4741f395ab86.htm" TargetMode="External"/><Relationship Id="rIdNewsletterSource5" Type="http://schemas.openxmlformats.org/officeDocument/2006/relationships/hyperlink" Target="https://ifst.caas.cn/xwzx/kyjz/6426fc0b5a774c0c9b470bf3eb8f3f54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黑体"/>
        <a:ea typeface="黑体"/>
        <a:cs typeface="黑体"/>
        <a:font script="Jpan" typeface="黑体"/>
        <a:font script="Hang" typeface="黑体"/>
        <a:font script="Hans" typeface="黑体"/>
        <a:font script="Hant" typeface="黑体"/>
        <a:font script="Arab" typeface="黑体"/>
        <a:font script="Hebr" typeface="黑体"/>
        <a:font script="Thai" typeface="黑体"/>
        <a:font script="Ethi" typeface="黑体"/>
        <a:font script="Beng" typeface="黑体"/>
        <a:font script="Gujr" typeface="黑体"/>
        <a:font script="Khmr" typeface="黑体"/>
        <a:font script="Knda" typeface="黑体"/>
        <a:font script="Guru" typeface="黑体"/>
        <a:font script="Cans" typeface="黑体"/>
        <a:font script="Cher" typeface="黑体"/>
        <a:font script="Yiii" typeface="黑体"/>
        <a:font script="Tibt" typeface="黑体"/>
        <a:font script="Thaa" typeface="黑体"/>
        <a:font script="Deva" typeface="黑体"/>
        <a:font script="Telu" typeface="黑体"/>
        <a:font script="Taml" typeface="黑体"/>
        <a:font script="Syrc" typeface="黑体"/>
        <a:font script="Orya" typeface="黑体"/>
        <a:font script="Mlym" typeface="黑体"/>
        <a:font script="Laoo" typeface="黑体"/>
        <a:font script="Sinh" typeface="黑体"/>
        <a:font script="Mong" typeface="黑体"/>
        <a:font script="Viet" typeface="黑体"/>
        <a:font script="Uigh" typeface="黑体"/>
        <a:font script="Geor" typeface="黑体"/>
      </a:majorFont>
      <a:minorFont>
        <a:latin typeface="宋体"/>
        <a:ea typeface="宋体"/>
        <a:cs typeface="宋体"/>
        <a:font script="Jpan" typeface="宋体"/>
        <a:font script="Hang" typeface="宋体"/>
        <a:font script="Hans" typeface="宋体"/>
        <a:font script="Hant" typeface="宋体"/>
        <a:font script="Arab" typeface="宋体"/>
        <a:font script="Hebr" typeface="宋体"/>
        <a:font script="Thai" typeface="宋体"/>
        <a:font script="Ethi" typeface="宋体"/>
        <a:font script="Beng" typeface="宋体"/>
        <a:font script="Gujr" typeface="宋体"/>
        <a:font script="Khmr" typeface="宋体"/>
        <a:font script="Knda" typeface="宋体"/>
        <a:font script="Guru" typeface="宋体"/>
        <a:font script="Cans" typeface="宋体"/>
        <a:font script="Cher" typeface="宋体"/>
        <a:font script="Yiii" typeface="宋体"/>
        <a:font script="Tibt" typeface="宋体"/>
        <a:font script="Thaa" typeface="宋体"/>
        <a:font script="Deva" typeface="宋体"/>
        <a:font script="Telu" typeface="宋体"/>
        <a:font script="Taml" typeface="宋体"/>
        <a:font script="Syrc" typeface="宋体"/>
        <a:font script="Orya" typeface="宋体"/>
        <a:font script="Mlym" typeface="宋体"/>
        <a:font script="Laoo" typeface="宋体"/>
        <a:font script="Sinh" typeface="宋体"/>
        <a:font script="Mong" typeface="宋体"/>
        <a:font script="Viet" typeface="宋体"/>
        <a:font script="Uigh" typeface="宋体"/>
        <a:font script="Geor" typeface="宋体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683</Words>
  <Characters>3895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4569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食品添加剂行业资讯周报（内部测试版）</dc:title>
  <dc:subject>2026年9月25日16:30至10月2日16:30（北京时间）</dc:subject>
  <dc:creator/>
  <cp:keywords/>
  <dc:description/>
  <cp:lastModifiedBy/>
  <cp:revision>1</cp:revision>
  <dcterms:created xsi:type="dcterms:W3CDTF">2026-10-04T08:05:31Z</dcterms:created>
  <dcterms:modified xsi:type="dcterms:W3CDTF">2026-10-04T08:05:31Z</dcterms:modified>
  <cp:category/>
</cp:coreProperties>
</file>