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食品接触材料行业资讯周报（内部测试版）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>2026年9月11日16:30至9月18日16:30（北京时间）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Newsletter Sans SC" w:eastAsia="Newsletter Sans SC" w:hAnsi="Newsletter Sans SC" w:cs="Newsletter Sans SC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Newsletter Sans SC" w:eastAsia="Newsletter Sans SC" w:hAnsi="Newsletter Sans SC" w:cs="Newsletter Sans SC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Newsletter Sans SC" w:eastAsia="Newsletter Sans SC" w:hAnsi="Newsletter Sans SC" w:cs="Newsletter Sans SC"/>
                <w:b/>
                <w:bCs/>
                <w:sz w:val="23"/>
                <w:szCs w:val="23"/>
              </w:rPr>
              <w:t>一、法规标准、授权与实施节点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Newsletter Sans SC" w:hAnsi="Newsletter Sans SC" w:eastAsia="Newsletter Sans SC" w:cs="Newsletter Sans SC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英国FSA讨论双酚A及再生塑料准入差异，提前接受欧盟授权仍需立法。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Newsletter Sans SC" w:eastAsia="Newsletter Sans SC" w:hAnsi="Newsletter Sans SC" w:cs="Newsletter Sans SC"/>
                <w:b/>
                <w:bCs/>
                <w:sz w:val="23"/>
                <w:szCs w:val="23"/>
              </w:rPr>
              <w:t>二、监督抽查、召回与质量风险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Newsletter Sans SC" w:hAnsi="Newsletter Sans SC" w:eastAsia="Newsletter Sans SC" w:cs="Newsletter Sans SC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上海分别公布玻璃35批、金属80批抽查结果，所检项目均未发现不合格。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Newsletter Sans SC" w:hAnsi="Newsletter Sans SC" w:eastAsia="Newsletter Sans SC" w:cs="Newsletter Sans SC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RASFF通报经意大利输入马耳他的中国制造汤勺存在初级芳香胺迁移问题。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Newsletter Sans SC" w:eastAsia="Newsletter Sans SC" w:hAnsi="Newsletter Sans SC" w:cs="Newsletter Sans SC"/>
                <w:b/>
                <w:bCs/>
                <w:sz w:val="23"/>
                <w:szCs w:val="23"/>
              </w:rPr>
              <w:t>三、迁移物、NIAS与检测评价技术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Newsletter Sans SC" w:eastAsia="Newsletter Sans SC" w:hAnsi="Newsletter Sans SC" w:cs="Newsletter Sans SC"/>
                <w:b/>
                <w:bCs/>
                <w:sz w:val="23"/>
                <w:szCs w:val="23"/>
              </w:rPr>
              <w:t>四、新材料、结构设计与食品应用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Newsletter Sans SC" w:hAnsi="Newsletter Sans SC" w:eastAsia="Newsletter Sans SC" w:cs="Newsletter Sans SC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江苏科大介绍茶多酚复合蛋白膜研究，考察草莓及鲜切苹果保鲜应用。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Newsletter Sans SC" w:hAnsi="Newsletter Sans SC" w:eastAsia="Newsletter Sans SC" w:cs="Newsletter Sans SC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巴斯夫介绍透水透烟聚酰胺肠衣材料，具体迁移条件和中国适用性仍待核。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Newsletter Sans SC" w:eastAsia="Newsletter Sans SC" w:hAnsi="Newsletter Sans SC" w:cs="Newsletter Sans SC"/>
                <w:b/>
                <w:bCs/>
                <w:sz w:val="23"/>
                <w:szCs w:val="23"/>
              </w:rPr>
              <w:t>五、市场准入、供应链与合规文件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Newsletter Sans SC" w:hAnsi="Newsletter Sans SC" w:eastAsia="Newsletter Sans SC" w:cs="Newsletter Sans SC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希腊通报土耳其瓷盘缺少相关文件，提示供应链文件与检测应分别核查。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Newsletter Sans SC" w:eastAsia="Newsletter Sans SC" w:hAnsi="Newsletter Sans SC" w:cs="Newsletter Sans SC"/>
                <w:b/>
                <w:bCs/>
                <w:sz w:val="23"/>
                <w:szCs w:val="23"/>
              </w:rPr>
              <w:t>六、再生循环、绿色包装与行业标准化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Newsletter Sans SC" w:hAnsi="Newsletter Sans SC" w:eastAsia="Newsletter Sans SC" w:cs="Newsletter Sans SC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东莞研讨会会后信息涉及食品接触材料、双酚类管控与PPWR合规衔接。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Newsletter Sans SC" w:hAnsi="Newsletter Sans SC" w:eastAsia="Newsletter Sans SC" w:cs="Newsletter Sans SC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利乐讨论纸基复合包装回收，强调设计与收集、分拣和资金机制配套。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>详细报道及来源见后文。本期为历史回溯试刊，编制于2026年9月21日。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>一、法规标准、授权与实施节点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英国FSA讨论英欧协调准备，涉及双酚A与再生塑料准入差异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>英国｜9月14日新增公开SPS准备报告，属政策讨论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英国食品标准局（FSA）在英欧卫生与植物卫生措施（SPS）协议准备报告中，将双酚A限制、再生塑料食品接触材料授权制度列为两地监管差异的例子。报告提醒，即使同一产品在两地均已获授权，使用条件仍可能不同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FSA同时讨论让大不列颠市场提前使用欧盟授权产品的可能性，但明确现行法律尚不允许，实施需要立法。本条反映政策协调准备，不代表协议已生效或两地已互认全部授权。面向大不列颠、北爱尔兰及欧盟的材料，仍须分别核查适用制度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 xml:space="preserve">来源 </w:t>
      </w:r>
      <w:hyperlink r:id="rId1001">
        <w:r>
          <w:rPr>
            <w:rFonts w:ascii="Newsletter Sans SC" w:eastAsia="Newsletter Sans SC" w:hAnsi="Newsletter Sans SC" w:cs="Newsletter Sans SC"/>
            <w:color w:val="245D83"/>
            <w:sz w:val="19"/>
            <w:szCs w:val="19"/>
            <w:u w:val="single"/>
          </w:rPr>
          <w:t>FSA报告第5节</w:t>
        </w:r>
      </w:hyperlink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 xml:space="preserve">  /  </w:t>
      </w:r>
      <w:hyperlink r:id="rId1002">
        <w:r>
          <w:rPr>
            <w:rFonts w:ascii="Newsletter Sans SC" w:eastAsia="Newsletter Sans SC" w:hAnsi="Newsletter Sans SC" w:cs="Newsletter Sans SC"/>
            <w:color w:val="245D83"/>
            <w:sz w:val="19"/>
            <w:szCs w:val="19"/>
            <w:u w:val="single"/>
          </w:rPr>
          <w:t>官方公开日期记录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二、监督抽查、召回与质量风险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上海公布玻璃及金属食品接触制品抽查结果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>中国内地｜闵行玻璃结果9月16日公开，上海金属结果9月18日12:09公开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上海市闵行区公布食品接触用玻璃制品抽查结果，35批次均来自实体销售环节，所检项目未发现不合格。上海市市场监管局另公布食品接触用金属制品抽查结果，80批次中实体销售50批次、电商销售30批次，同样未发现所检项目不合格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两次抽查分别依据玻璃、金属制品的上海市监督抽查实施细则开展，样品包括玻璃杯碗、储物容器及金属餐厨具、铝箔等。公告未列逐项检测值和迁移条件；结论仅适用于本次样本及所检项目，不能外推为全市场、全部迁移物或所有使用条件均安全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 xml:space="preserve">来源 </w:t>
      </w:r>
      <w:hyperlink r:id="rId1003">
        <w:r>
          <w:rPr>
            <w:rFonts w:ascii="Newsletter Sans SC" w:eastAsia="Newsletter Sans SC" w:hAnsi="Newsletter Sans SC" w:cs="Newsletter Sans SC"/>
            <w:color w:val="245D83"/>
            <w:sz w:val="19"/>
            <w:szCs w:val="19"/>
            <w:u w:val="single"/>
          </w:rPr>
          <w:t>闵行玻璃制品抽查公告</w:t>
        </w:r>
      </w:hyperlink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 xml:space="preserve">  /  </w:t>
      </w:r>
      <w:hyperlink r:id="rId1004">
        <w:r>
          <w:rPr>
            <w:rFonts w:ascii="Newsletter Sans SC" w:eastAsia="Newsletter Sans SC" w:hAnsi="Newsletter Sans SC" w:cs="Newsletter Sans SC"/>
            <w:color w:val="245D83"/>
            <w:sz w:val="19"/>
            <w:szCs w:val="19"/>
            <w:u w:val="single"/>
          </w:rPr>
          <w:t>上海金属制品抽查公告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RASFF通报中国制造汤勺的初级芳香胺迁移问题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>欧盟｜RASFF于9月15日验证公开，所附当地警示早于本周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RASFF通报2026.8150涉及中国制造、经意大利输入马耳他的厨房汤勺。官方记录将问题列为初级芳香胺迁移，记录两项结果为0.005和0.003 mg/kg，并列有官方扣留及公众警示措施。标识信息包括货号7827978、批次0824。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本周节点是RASFF通报公开，所附马耳他警示链接日期为8月26日，不能称当地本周首次召回。公开记录未完整列明胺类身份、模拟物和接触时间温度，本刊不据此推定汤勺材质，也不把单条记录中的限值泛化到全部初级芳香胺或所有材料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 xml:space="preserve">来源 </w:t>
      </w:r>
      <w:hyperlink r:id="rId1005">
        <w:r>
          <w:rPr>
            <w:rFonts w:ascii="Newsletter Sans SC" w:eastAsia="Newsletter Sans SC" w:hAnsi="Newsletter Sans SC" w:cs="Newsletter Sans SC"/>
            <w:color w:val="245D83"/>
            <w:sz w:val="19"/>
            <w:szCs w:val="19"/>
            <w:u w:val="single"/>
          </w:rPr>
          <w:t>RASFF通报2026.8150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四、新材料、结构设计与食品应用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江苏科大介绍茶多酚复合蛋白膜研究，探索果蔬保鲜应用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>中国内地｜9月15日机构报道，论文首次在线日期未核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江苏科技大学粮食学院介绍一项活性包装研究：研究团队以表没食子儿茶素没食子酸酯（EGCG）制备氧化自组装纳米复合物，再引入玉米醇溶蛋白膜。机构报道在所试体系下，膜性能及草莓、鲜切苹果保鲜表现得到改善，可作为蛋白基食品包装配方的研究线索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本条依据研究机构介绍，未读取论文全文，添加量、储藏温湿度、接触时间及迁移试验条件尚未核实。研究结果不等于材料获得食品接触使用许可；在具体食品中应用前，仍需评价迁移、暴露及目标市场的适用要求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 xml:space="preserve">来源 </w:t>
      </w:r>
      <w:hyperlink r:id="rId1006">
        <w:r>
          <w:rPr>
            <w:rFonts w:ascii="Newsletter Sans SC" w:eastAsia="Newsletter Sans SC" w:hAnsi="Newsletter Sans SC" w:cs="Newsletter Sans SC"/>
            <w:color w:val="245D83"/>
            <w:sz w:val="19"/>
            <w:szCs w:val="19"/>
            <w:u w:val="single"/>
          </w:rPr>
          <w:t>江苏科大研究介绍及论文链接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巴斯夫介绍透水透烟聚酰胺，指向熏制香肠人工肠衣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>德国｜9月17日企业展前介绍，未核首次商业上市日期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巴斯夫在Fakuma展前材料介绍中披露Ultramid H33 L聚酰胺，称其兼具水分和烟气透过性能，目标应用包括熏制香肠人工肠衣。对于肉制品包装开发，该信息可作为肠衣材料选择及烟熏、干燥加工适配的供应商线索。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上述性能来自供应商自述，本刊未取得具体接触食品类别、加工温度时间、食品模拟物及迁移数据，也未核验中国市场适用性。不能据本次介绍认定该牌号已适用于所有食品场景；原文中汽车再生塑料等其他产品信息不属于本条范围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 xml:space="preserve">来源 </w:t>
      </w:r>
      <w:hyperlink r:id="rId1007">
        <w:r>
          <w:rPr>
            <w:rFonts w:ascii="Newsletter Sans SC" w:eastAsia="Newsletter Sans SC" w:hAnsi="Newsletter Sans SC" w:cs="Newsletter Sans SC"/>
            <w:color w:val="245D83"/>
            <w:sz w:val="19"/>
            <w:szCs w:val="19"/>
            <w:u w:val="single"/>
          </w:rPr>
          <w:t>巴斯夫材料介绍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五、市场准入、供应链与合规文件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土耳其瓷盘因缺少相关文件遭希腊边境拒绝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>欧盟｜RASFF于9月17日验证公开，属文件合规案例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RASFF通报2026.8227涉及来自土耳其的瓷盘。希腊主管机构在边境检查中发现，负责该批货物的经营者未提供相关产品文件，通报类别为边境拒绝，并记录官方扣留。所引条款为欧盟官方控制法规2017/625第15条第3款。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这是文件缺失案例，公开记录未报告铅、镉等迁移项目超标，也未逐项列出缺失文件清单。出口和采购审核应分别检查产品、批次及适用市场要求相匹配的文件和检测证据，不能把一份合格检测报告等同于完成全部进口手续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 xml:space="preserve">来源 </w:t>
      </w:r>
      <w:hyperlink r:id="rId1008">
        <w:r>
          <w:rPr>
            <w:rFonts w:ascii="Newsletter Sans SC" w:eastAsia="Newsletter Sans SC" w:hAnsi="Newsletter Sans SC" w:cs="Newsletter Sans SC"/>
            <w:color w:val="245D83"/>
            <w:sz w:val="19"/>
            <w:szCs w:val="19"/>
            <w:u w:val="single"/>
          </w:rPr>
          <w:t>RASFF通报2026.8227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六、再生循环、绿色包装与行业标准化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东莞食品接触材料与PPWR研讨会披露会后信息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>中国内地｜9月15日主办方报道，活动于9月10日举行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中鼎检测发布东莞食品接触材料及欧盟包装和包装废弃物法规（PPWR）合规研讨会的会后信息。披露议题涉及塑料食品接触材料法规、双酚类物质管控，以及包装法规下经营者义务和技术要求，可作为本地企业合规交流需求的观察线索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本周新增的是主办方报道，活动并非在本周举行。本刊未取得讲义和完整案例资料，会议解读不替代正式法规，也不能据此判断参会企业已完成合规或相关法规在本周新发布。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 xml:space="preserve">来源 </w:t>
      </w:r>
      <w:hyperlink r:id="rId1009">
        <w:r>
          <w:rPr>
            <w:rFonts w:ascii="Newsletter Sans SC" w:eastAsia="Newsletter Sans SC" w:hAnsi="Newsletter Sans SC" w:cs="Newsletter Sans SC"/>
            <w:color w:val="245D83"/>
            <w:sz w:val="19"/>
            <w:szCs w:val="19"/>
            <w:u w:val="single"/>
          </w:rPr>
          <w:t>主办方会后报道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利乐讨论纸基复合包装回收设计与基础设施配套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>国际产业｜9月15日企业观点文章，文内产品案例为既有项目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利乐发布饮料纸基复合包装回收价值链文章，讨论纸板、聚合物及铝等材料结构如何影响回收处理，并强调收集、分拣和资金机制对实际回收的作用。面向绿色包装选型，文章提示应同时考察包装设计和销售地回收设施的适配性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本条为供应商观点，未独立验证其中的回收量和减碳数据，文内2025年纸基阻隔包装案例也未作为本周新品。设计可回收不代表当地已实现回收，更不意味着回收材料已获准重新用于食品接触用途。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Newsletter Sans SC" w:eastAsia="Newsletter Sans SC" w:hAnsi="Newsletter Sans SC" w:cs="Newsletter Sans SC"/>
          <w:color w:val="555555"/>
          <w:sz w:val="19"/>
          <w:szCs w:val="19"/>
        </w:rPr>
        <w:t xml:space="preserve">来源 </w:t>
      </w:r>
      <w:hyperlink r:id="rId1010">
        <w:r>
          <w:rPr>
            <w:rFonts w:ascii="Newsletter Sans SC" w:eastAsia="Newsletter Sans SC" w:hAnsi="Newsletter Sans SC" w:cs="Newsletter Sans SC"/>
            <w:color w:val="245D83"/>
            <w:sz w:val="19"/>
            <w:szCs w:val="19"/>
            <w:u w:val="single"/>
          </w:rPr>
          <w:t>利乐回收设计与系统配套文章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>本刊按周内公开节点选编，较早发生的抽样、警示、研究和活动另作标明。统计窗口为北京时间9月11日16:30之后至9月18日16:30；仅供内部测试及信息参考。未核得可刊发条目不等于该领域没有更新；具体应用请查阅原文及适用要求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Newsletter Sans SC">
    <w:panose1 w:val="020B0200000000000000"/>
    <w:charset w:val="86"/>
    <w:family w:val="swiss"/>
    <w:pitch w:val="variable"/>
    <w:sig w:usb0="20000083" w:usb1="2ADF3C10" w:usb2="00000016" w:usb3="00000000" w:csb0="60060107" w:csb1="00000000"/>
    <w:embedRegular r:id="portableFont1" w:fontKey="{542EEA47-5B7F-51A8-A563-D0DEF11344E1}" w:subsetted="0"/>
    <w:embedBold r:id="portableFont2" w:fontKey="{46C4B705-6D2F-5360-B8DE-697B9FF60E0D}" w:subsetted="0"/>
  </w:font>
  <w:font w:name="Newsletter Serif SC">
    <w:panose1 w:val="02020200000000000000"/>
    <w:charset w:val="86"/>
    <w:family w:val="roman"/>
    <w:pitch w:val="variable"/>
    <w:sig w:usb0="20000083" w:usb1="2ADF3C10" w:usb2="00000016" w:usb3="00000000" w:csb0="60060107" w:csb1="00000000"/>
    <w:embedRegular r:id="portableFont3" w:fontKey="{8A9BFDA3-FF35-55CA-A432-E119161C16E9}" w:subsetted="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Newsletter Sans SC" w:eastAsia="Newsletter Sans SC" w:hAnsi="Newsletter Sans SC" w:cs="Newsletter Sans SC"/>
        <w:color w:val="555555"/>
        <w:sz w:val="17"/>
        <w:szCs w:val="17"/>
      </w:rPr>
      <w:t xml:space="preserve">食品接触材料行业资讯周报（内部测试版）  第 </w:t>
    </w:r>
    <w:r w:rsidR="00071710">
      <w:rPr>
        <w:rFonts w:ascii="Newsletter Sans SC" w:eastAsia="Newsletter Sans SC" w:hAnsi="Newsletter Sans SC" w:cs="Newsletter Sans SC"/>
        <w:color w:val="555555"/>
        <w:sz w:val="17"/>
        <w:szCs w:val="17"/>
      </w:rPr>
      <w:fldChar w:fldCharType="begin"/>
    </w:r>
    <w:r w:rsidR="00071710">
      <w:rPr>
        <w:rFonts w:ascii="Newsletter Sans SC" w:eastAsia="Newsletter Sans SC" w:hAnsi="Newsletter Sans SC" w:cs="Newsletter Sans SC"/>
        <w:color w:val="555555"/>
        <w:sz w:val="17"/>
        <w:szCs w:val="17"/>
      </w:rPr>
      <w:instrText>PAGE</w:instrText>
    </w:r>
    <w:r w:rsidR="00071710">
      <w:rPr>
        <w:rFonts w:ascii="Newsletter Sans SC" w:eastAsia="Newsletter Sans SC" w:hAnsi="Newsletter Sans SC" w:cs="Newsletter Sans SC"/>
        <w:color w:val="555555"/>
        <w:sz w:val="17"/>
        <w:szCs w:val="17"/>
      </w:rPr>
      <w:fldChar w:fldCharType="separate"/>
    </w:r>
    <w:r w:rsidR="00144C9B">
      <w:rPr>
        <w:rFonts w:ascii="Newsletter Sans SC" w:eastAsia="Newsletter Sans SC" w:hAnsi="Newsletter Sans SC" w:cs="Newsletter Sans SC"/>
        <w:noProof/>
        <w:color w:val="555555"/>
        <w:sz w:val="17"/>
        <w:szCs w:val="17"/>
      </w:rPr>
      <w:t>1</w:t>
    </w:r>
    <w:r w:rsidR="00071710">
      <w:rPr>
        <w:rFonts w:ascii="Newsletter Sans SC" w:eastAsia="Newsletter Sans SC" w:hAnsi="Newsletter Sans SC" w:cs="Newsletter Sans SC"/>
        <w:color w:val="555555"/>
        <w:sz w:val="17"/>
        <w:szCs w:val="17"/>
      </w:rPr>
      <w:fldChar w:fldCharType="end"/>
    </w:r>
    <w:r>
      <w:rPr>
        <w:rFonts w:ascii="Newsletter Sans SC" w:eastAsia="Newsletter Sans SC" w:hAnsi="Newsletter Sans SC" w:cs="Newsletter Sans SC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Newsletter Serif SC" w:eastAsia="Newsletter Serif SC" w:hAnsi="Newsletter Serif SC" w:cs="Newsletter Serif SC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Newsletter Serif SC" w:eastAsia="Newsletter Serif SC" w:hAnsi="Newsletter Serif SC" w:cs="Newsletter Serif SC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Newsletter Serif SC" w:eastAsia="Newsletter Serif SC" w:hAnsi="Newsletter Serif SC" w:cs="Newsletter Serif SC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Newsletter Serif SC" w:eastAsia="Newsletter Serif SC" w:hAnsi="Newsletter Serif SC" w:cs="Newsletter Serif SC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 w:val="1"/>
  <w:embedSystemFonts w:val="1"/>
  <w:saveSubsetFonts w:val="0"/>
  <w:hideSpellingErrors w:val="1"/>
  <w:zoom w:percent="100"/>
  <w:bordersDoNotSurroundHeader/>
  <w:bordersDoNotSurroundFooter/>
  <w:hideGrammaticalErrors w:val="1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sletter Serif SC" w:eastAsia="Newsletter Serif SC" w:hAnsi="Newsletter Serif SC" w:cs="Newsletter Serif SC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Newsletter Sans SC" w:eastAsia="Newsletter Sans SC" w:hAnsi="Newsletter Sans SC" w:cs="Newsletter Sans SC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Newsletter Sans SC" w:eastAsia="Newsletter Sans SC" w:hAnsi="Newsletter Sans SC" w:cs="Newsletter Sans SC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Newsletter Sans SC" w:eastAsia="Newsletter Sans SC" w:hAnsi="Newsletter Sans SC" w:cs="Newsletter Sans SC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Newsletter Sans SC" w:eastAsia="Newsletter Sans SC" w:hAnsi="Newsletter Sans SC" w:cs="Newsletter Sans SC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Newsletter Sans SC" w:eastAsia="Newsletter Sans SC" w:hAnsi="Newsletter Sans SC" w:cs="Newsletter Sans SC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Newsletter Sans SC" w:eastAsia="Newsletter Sans SC" w:hAnsi="Newsletter Sans SC" w:cs="Newsletter Sans SC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Newsletter Sans SC" w:eastAsia="Newsletter Sans SC" w:hAnsi="Newsletter Sans SC" w:cs="Newsletter Sans SC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Newsletter Sans SC" w:eastAsia="Newsletter Sans SC" w:hAnsi="Newsletter Sans SC" w:cs="Newsletter Sans SC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Newsletter Sans SC" w:eastAsia="Newsletter Sans SC" w:hAnsi="Newsletter Sans SC" w:cs="Newsletter Sans SC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Newsletter Serif SC" w:eastAsia="Newsletter Serif SC" w:hAnsi="Newsletter Serif SC" w:cs="Newsletter Serif SC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Newsletter Serif SC" w:eastAsia="Newsletter Serif SC" w:hAnsi="Newsletter Serif SC" w:cs="Newsletter Serif SC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Newsletter Serif SC" w:eastAsia="Newsletter Serif SC" w:hAnsi="Newsletter Serif SC" w:cs="Newsletter Serif SC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Newsletter Serif SC" w:eastAsia="Newsletter Serif SC" w:hAnsi="Newsletter Serif SC" w:cs="Newsletter Serif SC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Newsletter Serif SC" w:eastAsia="Newsletter Serif SC" w:hAnsi="Newsletter Serif SC" w:cs="Newsletter Serif SC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Newsletter Sans SC" w:eastAsia="Newsletter Sans SC" w:hAnsi="Newsletter Sans SC" w:cs="Newsletter Sans SC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Newsletter Serif SC" w:eastAsia="Newsletter Serif SC" w:hAnsi="Newsletter Serif SC" w:cs="Newsletter Serif SC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Newsletter Sans SC" w:eastAsia="Newsletter Sans SC" w:hAnsi="Newsletter Sans SC" w:cs="Newsletter Sans SC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Newsletter Serif SC" w:eastAsia="Newsletter Serif SC" w:hAnsi="Newsletter Serif SC" w:cs="Newsletter Serif SC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Newsletter Serif SC" w:eastAsia="Newsletter Serif SC" w:hAnsi="Newsletter Serif SC" w:cs="Newsletter Serif SC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Newsletter Serif SC" w:eastAsia="Newsletter Serif SC" w:hAnsi="Newsletter Serif SC" w:cs="Newsletter Serif SC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Newsletter Serif SC" w:eastAsia="Newsletter Serif SC" w:hAnsi="Newsletter Serif SC" w:cs="Newsletter Serif SC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Newsletter Serif SC" w:eastAsia="Newsletter Serif SC" w:hAnsi="Newsletter Serif SC" w:cs="Newsletter Serif SC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Newsletter Serif SC" w:eastAsia="Newsletter Serif SC" w:hAnsi="Newsletter Serif SC" w:cs="Newsletter Serif SC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Newsletter Serif SC" w:eastAsia="Newsletter Serif SC" w:hAnsi="Newsletter Serif SC" w:cs="Newsletter Serif SC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Newsletter Serif SC" w:eastAsia="Newsletter Serif SC" w:hAnsi="Newsletter Serif SC" w:cs="Newsletter Serif SC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Newsletter Serif SC" w:eastAsia="Newsletter Serif SC" w:hAnsi="Newsletter Serif SC" w:cs="Newsletter Serif SC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Newsletter Serif SC" w:eastAsia="Newsletter Serif SC" w:hAnsi="Newsletter Serif SC" w:cs="Newsletter Serif SC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Newsletter Serif SC" w:eastAsia="Newsletter Serif SC" w:hAnsi="Newsletter Serif SC" w:cs="Newsletter Serif SC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Newsletter Serif SC" w:eastAsia="Newsletter Serif SC" w:hAnsi="Newsletter Serif SC" w:cs="Newsletter Serif SC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Newsletter Serif SC" w:eastAsia="Newsletter Serif SC" w:hAnsi="Newsletter Serif SC" w:cs="Newsletter Serif SC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Newsletter Serif SC" w:eastAsia="Newsletter Serif SC" w:hAnsi="Newsletter Serif SC" w:cs="Newsletter Serif SC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Newsletter Serif SC" w:eastAsia="Newsletter Serif SC" w:hAnsi="Newsletter Serif SC" w:cs="Newsletter Serif SC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Newsletter Serif SC" w:eastAsia="Newsletter Serif SC" w:hAnsi="Newsletter Serif SC" w:cs="Newsletter Serif SC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Newsletter Serif SC" w:eastAsia="Newsletter Serif SC" w:hAnsi="Newsletter Serif SC" w:cs="Newsletter Serif SC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Newsletter Serif SC" w:eastAsia="Newsletter Serif SC" w:hAnsi="Newsletter Serif SC" w:cs="Newsletter Serif SC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Newsletter Serif SC" w:eastAsia="Newsletter Serif SC" w:hAnsi="Newsletter Serif SC" w:cs="Newsletter Serif SC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Newsletter Serif SC" w:eastAsia="Newsletter Serif SC" w:hAnsi="Newsletter Serif SC" w:cs="Newsletter Serif SC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Newsletter Serif SC" w:eastAsia="Newsletter Serif SC" w:hAnsi="Newsletter Serif SC" w:cs="Newsletter Serif SC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Newsletter Serif SC" w:eastAsia="Newsletter Serif SC" w:hAnsi="Newsletter Serif SC" w:cs="Newsletter Serif SC" w:hint="eastAsia"/>
        <w:b/>
        <w:bCs/>
      </w:rPr>
    </w:tblStylePr>
    <w:tblStylePr w:type="lastCol"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Newsletter Serif SC" w:eastAsia="Newsletter Serif SC" w:hAnsi="Newsletter Serif SC" w:cs="Newsletter Serif SC" w:hint="eastAsia"/>
        <w:b/>
        <w:bCs/>
      </w:rPr>
    </w:tblStylePr>
    <w:tblStylePr w:type="lastCol"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Newsletter Serif SC" w:eastAsia="Newsletter Serif SC" w:hAnsi="Newsletter Serif SC" w:cs="Newsletter Serif SC" w:hint="eastAsia"/>
        <w:b/>
        <w:bCs/>
      </w:rPr>
    </w:tblStylePr>
    <w:tblStylePr w:type="lastCol"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Newsletter Serif SC" w:eastAsia="Newsletter Serif SC" w:hAnsi="Newsletter Serif SC" w:cs="Newsletter Serif SC" w:hint="eastAsia"/>
        <w:b/>
        <w:bCs/>
      </w:rPr>
    </w:tblStylePr>
    <w:tblStylePr w:type="lastCol"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Newsletter Serif SC" w:eastAsia="Newsletter Serif SC" w:hAnsi="Newsletter Serif SC" w:cs="Newsletter Serif SC" w:hint="eastAsia"/>
        <w:b/>
        <w:bCs/>
      </w:rPr>
    </w:tblStylePr>
    <w:tblStylePr w:type="lastCol"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Newsletter Serif SC" w:eastAsia="Newsletter Serif SC" w:hAnsi="Newsletter Serif SC" w:cs="Newsletter Serif SC" w:hint="eastAsia"/>
        <w:b/>
        <w:bCs/>
      </w:rPr>
    </w:tblStylePr>
    <w:tblStylePr w:type="lastCol"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Newsletter Serif SC" w:eastAsia="Newsletter Serif SC" w:hAnsi="Newsletter Serif SC" w:cs="Newsletter Serif SC" w:hint="eastAsia"/>
        <w:b/>
        <w:bCs/>
      </w:rPr>
    </w:tblStylePr>
    <w:tblStylePr w:type="lastCol">
      <w:rPr>
        <w:rFonts w:ascii="Newsletter Serif SC" w:eastAsia="Newsletter Serif SC" w:hAnsi="Newsletter Serif SC" w:cs="Newsletter Serif SC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Newsletter Serif SC" w:eastAsia="Newsletter Serif SC" w:hAnsi="Newsletter Serif SC" w:cs="Newsletter Serif SC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Newsletter Serif SC" w:eastAsia="Newsletter Serif SC" w:hAnsi="Newsletter Serif SC" w:cs="Newsletter Serif SC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Newsletter Serif SC" w:eastAsia="Newsletter Serif SC" w:hAnsi="Newsletter Serif SC" w:cs="Newsletter Serif SC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Newsletter Serif SC" w:eastAsia="Newsletter Serif SC" w:hAnsi="Newsletter Serif SC" w:cs="Newsletter Serif SC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Newsletter Serif SC" w:eastAsia="Newsletter Serif SC" w:hAnsi="Newsletter Serif SC" w:cs="Newsletter Serif SC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Newsletter Serif SC" w:eastAsia="Newsletter Serif SC" w:hAnsi="Newsletter Serif SC" w:cs="Newsletter Serif SC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Newsletter Serif SC" w:eastAsia="Newsletter Serif SC" w:hAnsi="Newsletter Serif SC" w:cs="Newsletter Serif SC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1001" Type="http://schemas.openxmlformats.org/officeDocument/2006/relationships/hyperlink" Target="https://www.gov.uk/government/publications/food-standards-agency-september-2026-board-meeting/an-update-to-the-board-on-the-food-standards-agencys-sps-programme-september-2026" TargetMode="External"/><Relationship Id="rId1002" Type="http://schemas.openxmlformats.org/officeDocument/2006/relationships/hyperlink" Target="https://www.gov.uk/government/publications/food-standards-agency-september-2026-board-meeting" TargetMode="External"/><Relationship Id="rId1003" Type="http://schemas.openxmlformats.org/officeDocument/2006/relationships/hyperlink" Target="https://zwgk.shmh.gov.cn/mh-xxgk-cms/website/mh_xxgk/zdly_ssjcc_ccjg/content/2bdc72d5-2b39-4250-b724-3efee4ad6106.htm" TargetMode="External"/><Relationship Id="rId1004" Type="http://schemas.openxmlformats.org/officeDocument/2006/relationships/hyperlink" Target="https://scjgj.sh.gov.cn/923/20260918/2c984a72a08215f201a0b2b1caab0245.html" TargetMode="External"/><Relationship Id="rId1005" Type="http://schemas.openxmlformats.org/officeDocument/2006/relationships/hyperlink" Target="https://webgate.ec.europa.eu/rasff-window/screen/notification/870988" TargetMode="External"/><Relationship Id="rId1006" Type="http://schemas.openxmlformats.org/officeDocument/2006/relationships/hyperlink" Target="https://liangshixy.just.edu.cn/2026/0915/c10795a377301/page.htm" TargetMode="External"/><Relationship Id="rId1007" Type="http://schemas.openxmlformats.org/officeDocument/2006/relationships/hyperlink" Target="https://www.basf.com/global/en/media/news-releases/2026/09/p-26-153" TargetMode="External"/><Relationship Id="rId1008" Type="http://schemas.openxmlformats.org/officeDocument/2006/relationships/hyperlink" Target="https://webgate.ec.europa.eu/rasff-window/screen/notification/873018" TargetMode="External"/><Relationship Id="rId1009" Type="http://schemas.openxmlformats.org/officeDocument/2006/relationships/hyperlink" Target="https://www.cttlab.com/news_details.php?serial=2217" TargetMode="External"/><Relationship Id="rId1010" Type="http://schemas.openxmlformats.org/officeDocument/2006/relationships/hyperlink" Target="https://www.tetrapak.com/en-lv/about-tetra-pak/stories/recycling-value-chain-series-push-article-2" TargetMode="External"/></Relationships>
</file>

<file path=word/_rels/fontTable.xml.rels><?xml version='1.0' encoding='UTF-8' standalone='yes'?>
<Relationships xmlns="http://schemas.openxmlformats.org/package/2006/relationships"><Relationship Id="portableFont1" Type="http://schemas.openxmlformats.org/officeDocument/2006/relationships/font" Target="fonts/NewsletterSansSC-Regular.odttf"/><Relationship Id="portableFont2" Type="http://schemas.openxmlformats.org/officeDocument/2006/relationships/font" Target="fonts/NewsletterSansSC-Bold.odttf"/><Relationship Id="portableFont3" Type="http://schemas.openxmlformats.org/officeDocument/2006/relationships/font" Target="fonts/NewsletterSerifSC-Regular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Newsletter Sans SC"/>
        <a:ea typeface="Newsletter Sans SC"/>
        <a:cs typeface="Newsletter Sans SC"/>
        <a:font script="Jpan" typeface="Newsletter Sans SC"/>
        <a:font script="Hang" typeface="Newsletter Sans SC"/>
        <a:font script="Hans" typeface="Newsletter Sans SC"/>
        <a:font script="Hant" typeface="Newsletter Sans SC"/>
        <a:font script="Arab" typeface="Newsletter Sans SC"/>
        <a:font script="Hebr" typeface="Newsletter Sans SC"/>
        <a:font script="Thai" typeface="Newsletter Sans SC"/>
        <a:font script="Ethi" typeface="Newsletter Sans SC"/>
        <a:font script="Beng" typeface="Newsletter Sans SC"/>
        <a:font script="Gujr" typeface="Newsletter Sans SC"/>
        <a:font script="Khmr" typeface="Newsletter Sans SC"/>
        <a:font script="Knda" typeface="Newsletter Sans SC"/>
        <a:font script="Guru" typeface="Newsletter Sans SC"/>
        <a:font script="Cans" typeface="Newsletter Sans SC"/>
        <a:font script="Cher" typeface="Newsletter Sans SC"/>
        <a:font script="Yiii" typeface="Newsletter Sans SC"/>
        <a:font script="Tibt" typeface="Newsletter Sans SC"/>
        <a:font script="Thaa" typeface="Newsletter Sans SC"/>
        <a:font script="Deva" typeface="Newsletter Sans SC"/>
        <a:font script="Telu" typeface="Newsletter Sans SC"/>
        <a:font script="Taml" typeface="Newsletter Sans SC"/>
        <a:font script="Syrc" typeface="Newsletter Sans SC"/>
        <a:font script="Orya" typeface="Newsletter Sans SC"/>
        <a:font script="Mlym" typeface="Newsletter Sans SC"/>
        <a:font script="Laoo" typeface="Newsletter Sans SC"/>
        <a:font script="Sinh" typeface="Newsletter Sans SC"/>
        <a:font script="Mong" typeface="Newsletter Sans SC"/>
        <a:font script="Viet" typeface="Newsletter Sans SC"/>
        <a:font script="Uigh" typeface="Newsletter Sans SC"/>
        <a:font script="Geor" typeface="Newsletter Sans SC"/>
      </a:majorFont>
      <a:minorFont>
        <a:latin typeface="Newsletter Serif SC"/>
        <a:ea typeface="Newsletter Serif SC"/>
        <a:cs typeface="Newsletter Serif SC"/>
        <a:font script="Jpan" typeface="Newsletter Serif SC"/>
        <a:font script="Hang" typeface="Newsletter Serif SC"/>
        <a:font script="Hans" typeface="Newsletter Serif SC"/>
        <a:font script="Hant" typeface="Newsletter Serif SC"/>
        <a:font script="Arab" typeface="Newsletter Serif SC"/>
        <a:font script="Hebr" typeface="Newsletter Serif SC"/>
        <a:font script="Thai" typeface="Newsletter Serif SC"/>
        <a:font script="Ethi" typeface="Newsletter Serif SC"/>
        <a:font script="Beng" typeface="Newsletter Serif SC"/>
        <a:font script="Gujr" typeface="Newsletter Serif SC"/>
        <a:font script="Khmr" typeface="Newsletter Serif SC"/>
        <a:font script="Knda" typeface="Newsletter Serif SC"/>
        <a:font script="Guru" typeface="Newsletter Serif SC"/>
        <a:font script="Cans" typeface="Newsletter Serif SC"/>
        <a:font script="Cher" typeface="Newsletter Serif SC"/>
        <a:font script="Yiii" typeface="Newsletter Serif SC"/>
        <a:font script="Tibt" typeface="Newsletter Serif SC"/>
        <a:font script="Thaa" typeface="Newsletter Serif SC"/>
        <a:font script="Deva" typeface="Newsletter Serif SC"/>
        <a:font script="Telu" typeface="Newsletter Serif SC"/>
        <a:font script="Taml" typeface="Newsletter Serif SC"/>
        <a:font script="Syrc" typeface="Newsletter Serif SC"/>
        <a:font script="Orya" typeface="Newsletter Serif SC"/>
        <a:font script="Mlym" typeface="Newsletter Serif SC"/>
        <a:font script="Laoo" typeface="Newsletter Serif SC"/>
        <a:font script="Sinh" typeface="Newsletter Serif SC"/>
        <a:font script="Mong" typeface="Newsletter Serif SC"/>
        <a:font script="Viet" typeface="Newsletter Serif SC"/>
        <a:font script="Uigh" typeface="Newsletter Serif SC"/>
        <a:font script="Geor" typeface="Newsletter Serif SC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食品接触材料行业资讯周报（内部测试版）</dc:title>
  <dc:subject>2026年9月11日16:30至9月18日16:30（北京时间）</dc:subject>
  <dc:creator>Neil Yu</dc:creator>
  <cp:keywords/>
  <dc:description/>
  <cp:lastModifiedBy>Neil Yu</cp:lastModifiedBy>
  <cp:revision>2</cp:revision>
  <dcterms:created xsi:type="dcterms:W3CDTF">2026-09-12T05:44:00Z</dcterms:created>
  <dcterms:modified xsi:type="dcterms:W3CDTF">2026-09-21T00:00:00Z</dcterms:modified>
  <cp:category/>
</cp:coreProperties>
</file>