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1ECEE1" w14:textId="77777777" w:rsidR="00741353" w:rsidRDefault="00AF0D74">
      <w:pPr>
        <w:pStyle w:val="aa"/>
        <w:spacing w:after="140" w:line="640" w:lineRule="exact"/>
        <w:wordWrap w:val="0"/>
      </w:pPr>
      <w:r>
        <w:t>食品接触材料行业资讯周报（内部测试版）</w:t>
      </w:r>
    </w:p>
    <w:p w14:paraId="1DF36016" w14:textId="77777777" w:rsidR="00741353" w:rsidRDefault="00AF0D74">
      <w:pPr>
        <w:pStyle w:val="ac"/>
        <w:spacing w:after="160" w:line="320" w:lineRule="exact"/>
        <w:wordWrap w:val="0"/>
      </w:pPr>
      <w:r>
        <w:t xml:space="preserve">2026年9月18日16:30至9月25日16:30（北京时间）</w:t>
      </w:r>
    </w:p>
    <w:p w14:paraId="1CB9F75F" w14:textId="77777777" w:rsidR="00741353" w:rsidRDefault="00AF0D74">
      <w:pPr>
        <w:pStyle w:val="1"/>
        <w:spacing w:before="200" w:line="440" w:lineRule="exact"/>
      </w:pPr>
      <w:r>
        <w:t>本期要点速览</w:t>
      </w:r>
    </w:p>
    <w:tbl>
      <w:tblPr>
        <w:tblW w:w="9639"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125" w:type="dxa"/>
          <w:left w:w="125" w:type="dxa"/>
          <w:bottom w:w="125" w:type="dxa"/>
          <w:right w:w="125" w:type="dxa"/>
        </w:tblCellMar>
        <w:tblLook w:val="04A0" w:firstRow="1" w:lastRow="0" w:firstColumn="1" w:lastColumn="0" w:noHBand="0" w:noVBand="1"/>
      </w:tblPr>
      <w:tblGrid>
        <w:gridCol w:w="2778"/>
        <w:gridCol w:w="6861"/>
      </w:tblGrid>
      <w:tr w:rsidR="00741353" w14:paraId="086449A1" w14:textId="77777777">
        <w:trPr>
          <w:cantSplit/>
          <w:tblHeader/>
        </w:trPr>
        <w:tc>
          <w:tcPr>
            <w:tcW w:w="2778" w:type="dxa"/>
            <w:shd w:val="clear" w:color="auto" w:fill="E8EEF3"/>
            <w:vAlign w:val="center"/>
          </w:tcPr>
          <w:p w14:paraId="2553C703" w14:textId="77777777" w:rsidR="00741353" w:rsidRDefault="00AF0D74">
            <w:pPr>
              <w:spacing w:after="60" w:line="360" w:lineRule="exact"/>
            </w:pPr>
            <w:r>
              <w:rPr>
                <w:rFonts w:ascii="黑体" w:eastAsia="黑体" w:hAnsi="黑体" w:cs="黑体"/>
                <w:b/>
                <w:bCs/>
                <w:sz w:val="23"/>
                <w:szCs w:val="23"/>
              </w:rPr>
              <w:t>栏目</w:t>
            </w:r>
          </w:p>
        </w:tc>
        <w:tc>
          <w:tcPr>
            <w:tcW w:w="6860" w:type="dxa"/>
            <w:shd w:val="clear" w:color="auto" w:fill="E8EEF3"/>
            <w:vAlign w:val="center"/>
          </w:tcPr>
          <w:p w14:paraId="1A068D37" w14:textId="77777777" w:rsidR="00741353" w:rsidRDefault="00AF0D74">
            <w:pPr>
              <w:spacing w:after="60" w:line="360" w:lineRule="exact"/>
            </w:pPr>
            <w:r>
              <w:rPr>
                <w:rFonts w:ascii="黑体" w:eastAsia="黑体" w:hAnsi="黑体" w:cs="黑体"/>
                <w:b/>
                <w:bCs/>
                <w:sz w:val="23"/>
                <w:szCs w:val="23"/>
              </w:rPr>
              <w:t>本期要点</w:t>
            </w:r>
          </w:p>
        </w:tc>
      </w:tr>
      <w:tr w:rsidR="00741353" w14:paraId="0DAE04B9" w14:textId="77777777">
        <w:trPr>
          <w:cantSplit/>
        </w:trPr>
        <w:tc>
          <w:tcPr>
            <w:tcW w:w="2778" w:type="dxa"/>
            <w:vAlign w:val="center"/>
          </w:tcPr>
          <w:p w14:paraId="0A696661" w14:textId="77777777" w:rsidR="00741353" w:rsidRDefault="00AF0D74">
            <w:pPr>
              <w:spacing w:after="60" w:line="360" w:lineRule="exact"/>
              <w:wordWrap w:val="0"/>
            </w:pPr>
            <w:r>
              <w:rPr>
                <w:rFonts w:ascii="黑体" w:eastAsia="黑体" w:hAnsi="黑体" w:cs="黑体"/>
                <w:b/>
                <w:bCs/>
                <w:sz w:val="23"/>
                <w:szCs w:val="23"/>
              </w:rPr>
              <w:t>一、法规标准、授权与实施节点</w:t>
            </w:r>
          </w:p>
        </w:tc>
        <w:tc>
          <w:tcPr>
            <w:tcW w:w="6860" w:type="dxa"/>
            <w:vAlign w:val="center"/>
          </w:tcPr>
          <w:p w14:paraId="08895642" w14:textId="77777777" w:rsidR="00741353" w:rsidRDefault="00AF0D74">
            <w:pPr>
              <w:spacing w:after="60" w:line="360" w:lineRule="exact"/>
              <w:tabs>
                <w:tab w:val="left" w:pos="360"/>
              </w:tabs>
              <w:ind w:left="360" w:hanging="280"/>
              <w:wordWrap w:val="0"/>
            </w:pPr>
            <w:r>
              <w:rPr>
                <w:rFonts w:ascii="宋体" w:hAnsi="宋体" w:eastAsia="宋体" w:cs="宋体"/>
                <w:b w:val="0"/>
                <w:color w:val="000000"/>
                <w:sz w:val="23"/>
              </w:rPr>
              <w:t>•</w:t>
              <w:tab/>
            </w:r>
            <w:r>
              <w:rPr>
                <w:sz w:val="23"/>
                <w:szCs w:val="23"/>
              </w:rPr>
              <w:t xml:space="preserve">GB 31667-2026列入新标准发布目录；仅确认发布、编号和名称，技术条款尚待全文核对。</w:t>
            </w:r>
          </w:p>
        </w:tc>
      </w:tr>
      <w:tr w:rsidR="00741353" w14:paraId="3D7E9BE7" w14:textId="77777777">
        <w:trPr>
          <w:cantSplit/>
        </w:trPr>
        <w:tc>
          <w:tcPr>
            <w:tcW w:w="2778" w:type="dxa"/>
            <w:vAlign w:val="center"/>
          </w:tcPr>
          <w:p w14:paraId="67F7E866" w14:textId="77777777" w:rsidR="00741353" w:rsidRDefault="00AF0D74">
            <w:pPr>
              <w:spacing w:after="60" w:line="360" w:lineRule="exact"/>
              <w:wordWrap w:val="0"/>
            </w:pPr>
            <w:r>
              <w:rPr>
                <w:rFonts w:ascii="黑体" w:eastAsia="黑体" w:hAnsi="黑体" w:cs="黑体"/>
                <w:b/>
                <w:bCs/>
                <w:sz w:val="23"/>
                <w:szCs w:val="23"/>
              </w:rPr>
              <w:t>二、监督抽查、召回与质量风险</w:t>
            </w:r>
          </w:p>
        </w:tc>
        <w:tc>
          <w:tcPr>
            <w:tcW w:w="6860" w:type="dxa"/>
            <w:vAlign w:val="center"/>
          </w:tcPr>
          <w:p w14:paraId="08895642" w14:textId="77777777" w:rsidR="00741353" w:rsidRDefault="00AF0D74">
            <w:pPr>
              <w:spacing w:after="60" w:line="360" w:lineRule="exact"/>
              <w:tabs>
                <w:tab w:val="left" w:pos="360"/>
              </w:tabs>
              <w:ind w:left="360" w:hanging="280"/>
              <w:wordWrap w:val="0"/>
            </w:pPr>
            <w:r>
              <w:rPr>
                <w:rFonts w:ascii="宋体" w:hAnsi="宋体" w:eastAsia="宋体" w:cs="宋体"/>
                <w:b w:val="0"/>
                <w:color w:val="000000"/>
                <w:sz w:val="23"/>
              </w:rPr>
              <w:t>•</w:t>
              <w:tab/>
            </w:r>
            <w:r>
              <w:rPr>
                <w:sz w:val="23"/>
                <w:szCs w:val="23"/>
              </w:rPr>
              <w:t xml:space="preserve">土耳其 PP 餐盘总迁移不合格；历史通报未公开具体测值或完整分销范围。</w:t>
            </w:r>
          </w:p>
          <w:p w14:paraId="08895642" w14:textId="77777777" w:rsidR="00741353" w:rsidRDefault="00AF0D74">
            <w:pPr>
              <w:spacing w:after="60" w:line="360" w:lineRule="exact"/>
              <w:tabs>
                <w:tab w:val="left" w:pos="360"/>
              </w:tabs>
              <w:ind w:left="360" w:hanging="280"/>
              <w:wordWrap w:val="0"/>
            </w:pPr>
            <w:r>
              <w:rPr>
                <w:rFonts w:ascii="宋体" w:hAnsi="宋体" w:eastAsia="宋体" w:cs="宋体"/>
                <w:b w:val="0"/>
                <w:color w:val="000000"/>
                <w:sz w:val="23"/>
              </w:rPr>
              <w:t>•</w:t>
              <w:tab/>
            </w:r>
            <w:r>
              <w:rPr>
                <w:sz w:val="23"/>
                <w:szCs w:val="23"/>
              </w:rPr>
              <w:t xml:space="preserve">西班牙边境餐盘案例列示总迁移平均104.5 mg/dm²；产品未投放市场。</w:t>
            </w:r>
          </w:p>
        </w:tc>
      </w:tr>
      <w:tr w:rsidR="00741353" w14:paraId="716A2FD7" w14:textId="77777777">
        <w:trPr>
          <w:cantSplit/>
        </w:trPr>
        <w:tc>
          <w:tcPr>
            <w:tcW w:w="2778" w:type="dxa"/>
            <w:vAlign w:val="center"/>
          </w:tcPr>
          <w:p w14:paraId="3D2FCD93" w14:textId="77777777" w:rsidR="00741353" w:rsidRDefault="00AF0D74">
            <w:pPr>
              <w:spacing w:after="60" w:line="360" w:lineRule="exact"/>
              <w:wordWrap w:val="0"/>
            </w:pPr>
            <w:r>
              <w:rPr>
                <w:rFonts w:ascii="黑体" w:eastAsia="黑体" w:hAnsi="黑体" w:cs="黑体"/>
                <w:b/>
                <w:bCs/>
                <w:sz w:val="23"/>
                <w:szCs w:val="23"/>
              </w:rPr>
              <w:t>三、迁移物、NIAS与检测评价技术</w:t>
            </w:r>
          </w:p>
        </w:tc>
        <w:tc>
          <w:tcPr>
            <w:tcW w:w="6860" w:type="dxa"/>
            <w:vAlign w:val="center"/>
          </w:tcPr>
          <w:p w14:paraId="066E3FEC" w14:textId="77777777" w:rsidR="00741353" w:rsidRDefault="00AF0D74">
            <w:pPr>
              <w:spacing w:after="60" w:line="360" w:lineRule="exact"/>
              <w:wordWrap w:val="0"/>
            </w:pPr>
            <w:r>
              <w:rPr>
                <w:sz w:val="23"/>
                <w:szCs w:val="23"/>
              </w:rPr>
              <w:t xml:space="preserve">本期暂无可刊发条目。</w:t>
            </w:r>
          </w:p>
        </w:tc>
      </w:tr>
      <w:tr w:rsidR="00741353" w14:paraId="30568B6B" w14:textId="77777777">
        <w:trPr>
          <w:cantSplit/>
        </w:trPr>
        <w:tc>
          <w:tcPr>
            <w:tcW w:w="2778" w:type="dxa"/>
            <w:vAlign w:val="center"/>
          </w:tcPr>
          <w:p w14:paraId="11BA2FBD" w14:textId="77777777" w:rsidR="00741353" w:rsidRDefault="00AF0D74">
            <w:pPr>
              <w:spacing w:after="60" w:line="360" w:lineRule="exact"/>
              <w:wordWrap w:val="0"/>
            </w:pPr>
            <w:r>
              <w:rPr>
                <w:rFonts w:ascii="黑体" w:eastAsia="黑体" w:hAnsi="黑体" w:cs="黑体"/>
                <w:b/>
                <w:bCs/>
                <w:sz w:val="23"/>
                <w:szCs w:val="23"/>
              </w:rPr>
              <w:t>四、新材料、结构设计与食品应用</w:t>
            </w:r>
          </w:p>
        </w:tc>
        <w:tc>
          <w:tcPr>
            <w:tcW w:w="6860" w:type="dxa"/>
            <w:vAlign w:val="center"/>
          </w:tcPr>
          <w:p w14:paraId="08895642" w14:textId="77777777" w:rsidR="00741353" w:rsidRDefault="00AF0D74">
            <w:pPr>
              <w:spacing w:after="60" w:line="360" w:lineRule="exact"/>
              <w:tabs>
                <w:tab w:val="left" w:pos="360"/>
              </w:tabs>
              <w:ind w:left="360" w:hanging="280"/>
              <w:wordWrap w:val="0"/>
            </w:pPr>
            <w:r>
              <w:rPr>
                <w:rFonts w:ascii="宋体" w:hAnsi="宋体" w:eastAsia="宋体" w:cs="宋体"/>
                <w:b w:val="0"/>
                <w:color w:val="000000"/>
                <w:sz w:val="23"/>
              </w:rPr>
              <w:t xml:space="preserve">本期暂无可刊发条目。</w:t>
            </w:r>
          </w:p>
        </w:tc>
      </w:tr>
      <w:tr w:rsidR="00741353" w14:paraId="348AD92E" w14:textId="77777777">
        <w:trPr>
          <w:cantSplit/>
        </w:trPr>
        <w:tc>
          <w:tcPr>
            <w:tcW w:w="2778" w:type="dxa"/>
            <w:vAlign w:val="center"/>
          </w:tcPr>
          <w:p w14:paraId="032F4B9D" w14:textId="77777777" w:rsidR="00741353" w:rsidRDefault="00AF0D74">
            <w:pPr>
              <w:spacing w:after="60" w:line="360" w:lineRule="exact"/>
              <w:wordWrap w:val="0"/>
            </w:pPr>
            <w:r>
              <w:rPr>
                <w:rFonts w:ascii="黑体" w:eastAsia="黑体" w:hAnsi="黑体" w:cs="黑体"/>
                <w:b/>
                <w:bCs/>
                <w:sz w:val="23"/>
                <w:szCs w:val="23"/>
              </w:rPr>
              <w:t>五、市场准入、供应链与合规文件</w:t>
            </w:r>
          </w:p>
        </w:tc>
        <w:tc>
          <w:tcPr>
            <w:tcW w:w="6860" w:type="dxa"/>
            <w:vAlign w:val="center"/>
          </w:tcPr>
          <w:p w14:paraId="08895642" w14:textId="77777777" w:rsidR="00741353" w:rsidRDefault="00AF0D74">
            <w:pPr>
              <w:spacing w:after="60" w:line="360" w:lineRule="exact"/>
              <w:tabs>
                <w:tab w:val="left" w:pos="360"/>
              </w:tabs>
              <w:ind w:left="360" w:hanging="280"/>
              <w:wordWrap w:val="0"/>
            </w:pPr>
            <w:r>
              <w:rPr>
                <w:rFonts w:ascii="宋体" w:hAnsi="宋体" w:eastAsia="宋体" w:cs="宋体"/>
                <w:b w:val="0"/>
                <w:color w:val="000000"/>
                <w:sz w:val="23"/>
              </w:rPr>
              <w:t>•</w:t>
              <w:tab/>
            </w:r>
            <w:r>
              <w:rPr>
                <w:sz w:val="23"/>
                <w:szCs w:val="23"/>
              </w:rPr>
              <w:t xml:space="preserve">希腊塑料食品容器案例源于文件不足，未公开化学检测不合格结果。</w:t>
            </w:r>
          </w:p>
          <w:p w14:paraId="08895642" w14:textId="77777777" w:rsidR="00741353" w:rsidRDefault="00AF0D74">
            <w:pPr>
              <w:spacing w:after="60" w:line="360" w:lineRule="exact"/>
              <w:tabs>
                <w:tab w:val="left" w:pos="360"/>
              </w:tabs>
              <w:ind w:left="360" w:hanging="280"/>
              <w:wordWrap w:val="0"/>
            </w:pPr>
            <w:r>
              <w:rPr>
                <w:rFonts w:ascii="宋体" w:hAnsi="宋体" w:eastAsia="宋体" w:cs="宋体"/>
                <w:b w:val="0"/>
                <w:color w:val="000000"/>
                <w:sz w:val="23"/>
              </w:rPr>
              <w:t>•</w:t>
              <w:tab/>
            </w:r>
            <w:r>
              <w:rPr>
                <w:sz w:val="23"/>
                <w:szCs w:val="23"/>
              </w:rPr>
              <w:t xml:space="preserve">明日控股披露西非原料供应链合作意向；暂无订单金额或材料合规数据。</w:t>
            </w:r>
          </w:p>
        </w:tc>
      </w:tr>
      <w:tr w:rsidR="00741353" w14:paraId="4E96E3BA" w14:textId="77777777">
        <w:trPr>
          <w:cantSplit/>
        </w:trPr>
        <w:tc>
          <w:tcPr>
            <w:tcW w:w="2778" w:type="dxa"/>
            <w:vAlign w:val="center"/>
          </w:tcPr>
          <w:p w14:paraId="4DBA7D85" w14:textId="77777777" w:rsidR="00741353" w:rsidRDefault="00AF0D74">
            <w:pPr>
              <w:spacing w:after="60" w:line="360" w:lineRule="exact"/>
              <w:wordWrap w:val="0"/>
            </w:pPr>
            <w:r>
              <w:rPr>
                <w:rFonts w:ascii="黑体" w:eastAsia="黑体" w:hAnsi="黑体" w:cs="黑体"/>
                <w:b/>
                <w:bCs/>
                <w:sz w:val="23"/>
                <w:szCs w:val="23"/>
              </w:rPr>
              <w:t>六、再生循环、绿色包装与行业标准化</w:t>
            </w:r>
          </w:p>
        </w:tc>
        <w:tc>
          <w:tcPr>
            <w:tcW w:w="6860" w:type="dxa"/>
            <w:vAlign w:val="center"/>
          </w:tcPr>
          <w:p w14:paraId="08895642" w14:textId="77777777" w:rsidR="00741353" w:rsidRDefault="00AF0D74">
            <w:pPr>
              <w:spacing w:after="60" w:line="360" w:lineRule="exact"/>
              <w:tabs>
                <w:tab w:val="left" w:pos="360"/>
              </w:tabs>
              <w:ind w:left="360" w:hanging="280"/>
              <w:wordWrap w:val="0"/>
            </w:pPr>
            <w:r>
              <w:rPr>
                <w:rFonts w:ascii="宋体" w:hAnsi="宋体" w:eastAsia="宋体" w:cs="宋体"/>
                <w:b w:val="0"/>
                <w:color w:val="000000"/>
                <w:sz w:val="23"/>
              </w:rPr>
              <w:t>•</w:t>
              <w:tab/>
            </w:r>
            <w:r>
              <w:rPr>
                <w:sz w:val="23"/>
                <w:szCs w:val="23"/>
              </w:rPr>
              <w:t xml:space="preserve">灵璧节前检查月饼包装结构与材料；通报未公布违法数量或处罚结果。</w:t>
            </w:r>
          </w:p>
        </w:tc>
      </w:tr>
    </w:tbl>
    <w:p w14:paraId="0DAB29BE" w14:textId="77777777" w:rsidR="00741353" w:rsidRDefault="00AF0D74">
      <w:pPr>
        <w:spacing w:line="290" w:lineRule="exact"/>
        <w:wordWrap w:val="0"/>
      </w:pPr>
      <w:r>
        <w:rPr>
          <w:rFonts w:ascii="宋体" w:eastAsia="宋体" w:hAnsi="宋体" w:cs="宋体"/>
          <w:color w:val="555555"/>
          <w:sz w:val="19"/>
          <w:szCs w:val="19"/>
        </w:rPr>
        <w:t xml:space="preserve">本期统计窗口为2026年9月18日16:30之后至9月25日16:30，实际补编于2026年10月4日。本期已核材料涵盖罐装食品锡污染控制标准发布、欧洲餐具迁移与进口文件风险、国内包装监管以及原料供应链动态。通报事实、企业披露与技术建议分别表述。</w:t>
      </w:r>
    </w:p>
    <w:p w14:paraId="7A6D2953" w14:textId="77777777" w:rsidR="00741353" w:rsidRDefault="00AF0D74">
      <w:pPr>
        <w:pStyle w:val="1"/>
        <w:spacing w:before="200" w:line="440" w:lineRule="exact"/>
        <w:wordWrap w:val="0"/>
        <w:pageBreakBefore w:val="1"/>
      </w:pPr>
      <w:r>
        <w:t xml:space="preserve">一、法规标准、授权与实施节点</w:t>
      </w:r>
    </w:p>
    <w:p w14:paraId="48D7440C" w14:textId="77777777" w:rsidR="00741353" w:rsidRDefault="00AF0D74">
      <w:pPr>
        <w:pStyle w:val="21"/>
        <w:spacing w:before="140" w:line="380" w:lineRule="exact"/>
        <w:wordWrap w:val="0"/>
      </w:pPr>
      <w:r>
        <w:t xml:space="preserve">国家卫生健康委公布镀锡薄钢板罐装食品中锡污染控制规范</w:t>
      </w:r>
    </w:p>
    <w:p w14:paraId="055A539C" w14:textId="77777777" w:rsidR="00741353" w:rsidRDefault="00AF0D74">
      <w:pPr>
        <w:keepNext/>
        <w:spacing w:line="290" w:lineRule="exact"/>
        <w:wordWrap w:val="0"/>
      </w:pPr>
      <w:r>
        <w:rPr>
          <w:rFonts w:ascii="宋体" w:eastAsia="宋体" w:hAnsi="宋体" w:cs="宋体"/>
          <w:color w:val="555555"/>
          <w:sz w:val="19"/>
          <w:szCs w:val="19"/>
        </w:rPr>
        <w:t xml:space="preserve">中国｜官网公开2026年9月22日；公告落款2026年8月18日</w:t>
      </w:r>
    </w:p>
    <w:p w14:paraId="75463394" w14:textId="77777777" w:rsidR="00741353" w:rsidRDefault="00AF0D74">
      <w:pPr>
        <w:keepNext/>
        <w:spacing w:line="360" w:lineRule="exact"/>
        <w:ind w:firstLine="480"/>
        <w:wordWrap w:val="0"/>
        <w:keepLines w:val="1"/>
      </w:pPr>
      <w:r>
        <w:t xml:space="preserve">国家卫生健康委网站于9月22日公开国家卫生健康委、市场监管总局2026年第6号公告，发布50项食品安全国家标准和修改单。目录列明《食品安全国家标准 镀锡薄钢板罐装食品中锡污染控制规范》（GB 31667-2026）。公告落款为8月18日，本期按官网公开日期归属。</w:t>
      </w:r>
    </w:p>
    <w:p w14:paraId="75463394" w14:textId="77777777" w:rsidR="00741353" w:rsidRDefault="00AF0D74">
      <w:pPr>
        <w:keepNext/>
        <w:spacing w:line="360" w:lineRule="exact"/>
        <w:ind w:firstLine="480"/>
        <w:wordWrap w:val="0"/>
        <w:keepLines w:val="1"/>
      </w:pPr>
      <w:r>
        <w:t xml:space="preserve">技术关注：金属包装及罐藏食品团队可据此识别与食品、包装接触有关的标准更新。本轮未取得该标准全文，因此仅报道发布信息、编号和名称，不据目录推定实施日期、锡限量、迁移试验条件、罐材符合性要求或具体技术变化，也不将该目录信息表述为新的食品接触材料迁移法规。</w:t>
      </w:r>
    </w:p>
    <w:p w14:paraId="21359F8A" w14:textId="7BCCA01E" w:rsidR="00741353" w:rsidRDefault="00AF0D74">
      <w:pPr>
        <w:spacing w:after="160" w:line="280" w:lineRule="exact"/>
      </w:pPr>
      <w:r>
        <w:rPr>
          <w:rFonts w:ascii="宋体" w:eastAsia="宋体" w:hAnsi="宋体" w:cs="宋体"/>
          <w:color w:val="555555"/>
          <w:sz w:val="19"/>
          <w:szCs w:val="19"/>
        </w:rPr>
        <w:t xml:space="preserve">来源 </w:t>
      </w:r>
      <w:hyperlink r:id="rIdNewsletterSource1">
        <w:r>
          <w:rPr>
            <w:rFonts w:ascii="宋体" w:eastAsia="宋体" w:hAnsi="宋体" w:cs="宋体"/>
            <w:color w:val="245D83"/>
            <w:sz w:val="19"/>
            <w:szCs w:val="19"/>
            <w:u w:val="single"/>
          </w:rPr>
          <w:t>国家卫生健康委2026年第6号公告及标准目录</w:t>
        </w:r>
      </w:hyperlink>
    </w:p>
    <w:p w14:paraId="7A6D2953" w14:textId="77777777" w:rsidR="00741353" w:rsidRDefault="00AF0D74">
      <w:pPr>
        <w:pStyle w:val="1"/>
        <w:spacing w:before="200" w:line="440" w:lineRule="exact"/>
        <w:wordWrap w:val="0"/>
        <w:pageBreakBefore w:val="0"/>
      </w:pPr>
      <w:r>
        <w:t xml:space="preserve">二、监督抽查、召回与质量风险</w:t>
      </w:r>
    </w:p>
    <w:p w14:paraId="48D7440C" w14:textId="77777777" w:rsidR="00741353" w:rsidRDefault="00AF0D74">
      <w:pPr>
        <w:pStyle w:val="21"/>
        <w:spacing w:before="140" w:line="380" w:lineRule="exact"/>
        <w:wordWrap w:val="0"/>
      </w:pPr>
      <w:r>
        <w:t xml:space="preserve">意大利通报土耳其可重复使用 PP 餐盘总迁移量超标</w:t>
      </w:r>
    </w:p>
    <w:p w14:paraId="055A539C" w14:textId="77777777" w:rsidR="00741353" w:rsidRDefault="00AF0D74">
      <w:pPr>
        <w:keepNext/>
        <w:spacing w:line="290" w:lineRule="exact"/>
        <w:wordWrap w:val="0"/>
      </w:pPr>
      <w:r>
        <w:rPr>
          <w:rFonts w:ascii="宋体" w:eastAsia="宋体" w:hAnsi="宋体" w:cs="宋体"/>
          <w:color w:val="555555"/>
          <w:sz w:val="19"/>
          <w:szCs w:val="19"/>
        </w:rPr>
        <w:t xml:space="preserve">欧盟／意大利｜2026年9月21日 RASFF 验证公开</w:t>
      </w:r>
    </w:p>
    <w:p w14:paraId="75463394" w14:textId="77777777" w:rsidR="00741353" w:rsidRDefault="00AF0D74">
      <w:pPr>
        <w:keepNext/>
        <w:spacing w:line="360" w:lineRule="exact"/>
        <w:ind w:firstLine="480"/>
        <w:wordWrap w:val="0"/>
        <w:keepLines w:val="1"/>
      </w:pPr>
      <w:r>
        <w:t xml:space="preserve">RASFF 通知 2026.8338 涉及土耳其产可重复使用聚丙烯（PP）平餐盘。意大利通过市场官方检查发现总迁移量超过法定限值，风险判断为“潜在严重”。本稿采用9月24日已保存的历史详情：当时类型为供关注的信息通知，措施为通报有关主管部门；分销信息尚不可得。</w:t>
      </w:r>
    </w:p>
    <w:p w14:paraId="75463394" w14:textId="77777777" w:rsidR="00741353" w:rsidRDefault="00AF0D74">
      <w:pPr>
        <w:keepNext/>
        <w:spacing w:line="360" w:lineRule="exact"/>
        <w:ind w:firstLine="480"/>
        <w:wordWrap w:val="0"/>
        <w:keepLines w:val="1"/>
      </w:pPr>
      <w:r>
        <w:t xml:space="preserve">历史详情没有公布具体迁移测定值，不能补写超标倍数，也不能把通知覆盖范围扩大到同一国家或同一材料的全部产品。技术审阅建议是核对重复使用餐具的预期接触条件与迁移试验方案；本通知本身不足以判定失效原因或实际人体暴露水平。</w:t>
      </w:r>
    </w:p>
    <w:p w14:paraId="21359F8A" w14:textId="7BCCA01E" w:rsidR="00741353" w:rsidRDefault="00AF0D74">
      <w:pPr>
        <w:spacing w:after="160" w:line="280" w:lineRule="exact"/>
      </w:pPr>
      <w:r>
        <w:rPr>
          <w:rFonts w:ascii="宋体" w:eastAsia="宋体" w:hAnsi="宋体" w:cs="宋体"/>
          <w:color w:val="555555"/>
          <w:sz w:val="19"/>
          <w:szCs w:val="19"/>
        </w:rPr>
        <w:t xml:space="preserve">来源 </w:t>
      </w:r>
      <w:hyperlink r:id="rIdNewsletterSource2">
        <w:r>
          <w:rPr>
            <w:rFonts w:ascii="宋体" w:eastAsia="宋体" w:hAnsi="宋体" w:cs="宋体"/>
            <w:color w:val="245D83"/>
            <w:sz w:val="19"/>
            <w:szCs w:val="19"/>
            <w:u w:val="single"/>
          </w:rPr>
          <w:t>欧盟 RASFF Window 通知 2026.8338</w:t>
        </w:r>
      </w:hyperlink>
    </w:p>
    <w:p w14:paraId="48D7440C" w14:textId="77777777" w:rsidR="00741353" w:rsidRDefault="00AF0D74">
      <w:pPr>
        <w:pStyle w:val="21"/>
        <w:spacing w:before="140" w:line="380" w:lineRule="exact"/>
        <w:wordWrap w:val="0"/>
      </w:pPr>
      <w:r>
        <w:t xml:space="preserve">西班牙边境拒绝一批总迁移量超标的土耳其塑料餐盘</w:t>
      </w:r>
    </w:p>
    <w:p w14:paraId="055A539C" w14:textId="77777777" w:rsidR="00741353" w:rsidRDefault="00AF0D74">
      <w:pPr>
        <w:keepNext/>
        <w:spacing w:line="290" w:lineRule="exact"/>
        <w:wordWrap w:val="0"/>
      </w:pPr>
      <w:r>
        <w:rPr>
          <w:rFonts w:ascii="宋体" w:eastAsia="宋体" w:hAnsi="宋体" w:cs="宋体"/>
          <w:color w:val="555555"/>
          <w:sz w:val="19"/>
          <w:szCs w:val="19"/>
        </w:rPr>
        <w:t xml:space="preserve">欧盟／西班牙｜2026年9月22日 RASFF 验证公开</w:t>
      </w:r>
    </w:p>
    <w:p w14:paraId="75463394" w14:textId="77777777" w:rsidR="00741353" w:rsidRDefault="00AF0D74">
      <w:pPr>
        <w:keepNext/>
        <w:spacing w:line="360" w:lineRule="exact"/>
        <w:ind w:firstLine="480"/>
        <w:wordWrap w:val="0"/>
        <w:keepLines w:val="1"/>
      </w:pPr>
      <w:r>
        <w:t xml:space="preserve">RASFF 通知 2026.8384 显示，西班牙边境检查扣留土耳其产塑料餐盘。公开分析字段记载，在3%乙酸中总迁移量平均为104.5 mg/dm²，并列示 ±1.3；通知所列最高允许值为10 mg/dm²。该通知分类为边境拒绝，风险判断为“潜在严重”。</w:t>
      </w:r>
    </w:p>
    <w:p w14:paraId="75463394" w14:textId="77777777" w:rsidR="00741353" w:rsidRDefault="00AF0D74">
      <w:pPr>
        <w:keepNext/>
        <w:spacing w:line="360" w:lineRule="exact"/>
        <w:ind w:firstLine="480"/>
        <w:wordWrap w:val="0"/>
        <w:keepLines w:val="1"/>
      </w:pPr>
      <w:r>
        <w:t xml:space="preserve">历史详情显示产品尚未投放市场，所列处置措施为销毁。公开字段没有给出试验温度、接触时间及树脂类别，±1.3 的统计含义也未进一步说明；因此不将单个结果外推至其他塑料餐具，或用于评价所有接触条件下的合规性。</w:t>
      </w:r>
    </w:p>
    <w:p w14:paraId="21359F8A" w14:textId="7BCCA01E" w:rsidR="00741353" w:rsidRDefault="00AF0D74">
      <w:pPr>
        <w:spacing w:after="160" w:line="280" w:lineRule="exact"/>
      </w:pPr>
      <w:r>
        <w:rPr>
          <w:rFonts w:ascii="宋体" w:eastAsia="宋体" w:hAnsi="宋体" w:cs="宋体"/>
          <w:color w:val="555555"/>
          <w:sz w:val="19"/>
          <w:szCs w:val="19"/>
        </w:rPr>
        <w:t xml:space="preserve">来源 </w:t>
      </w:r>
      <w:hyperlink r:id="rIdNewsletterSource3">
        <w:r>
          <w:rPr>
            <w:rFonts w:ascii="宋体" w:eastAsia="宋体" w:hAnsi="宋体" w:cs="宋体"/>
            <w:color w:val="245D83"/>
            <w:sz w:val="19"/>
            <w:szCs w:val="19"/>
            <w:u w:val="single"/>
          </w:rPr>
          <w:t>欧盟 RASFF Window 通知 2026.8384</w:t>
        </w:r>
      </w:hyperlink>
    </w:p>
    <w:p w14:paraId="7A6D2953" w14:textId="77777777" w:rsidR="00741353" w:rsidRDefault="00AF0D74">
      <w:pPr>
        <w:pStyle w:val="1"/>
        <w:spacing w:before="200" w:line="440" w:lineRule="exact"/>
        <w:wordWrap w:val="0"/>
        <w:pageBreakBefore w:val="0"/>
      </w:pPr>
      <w:r>
        <w:t xml:space="preserve">五、市场准入、供应链与合规文件</w:t>
      </w:r>
    </w:p>
    <w:p w14:paraId="48D7440C" w14:textId="77777777" w:rsidR="00741353" w:rsidRDefault="00AF0D74">
      <w:pPr>
        <w:pStyle w:val="21"/>
        <w:spacing w:before="140" w:line="380" w:lineRule="exact"/>
        <w:wordWrap w:val="0"/>
      </w:pPr>
      <w:r>
        <w:t xml:space="preserve">希腊因文件不足扣留土耳其塑料食品容器</w:t>
      </w:r>
    </w:p>
    <w:p w14:paraId="055A539C" w14:textId="77777777" w:rsidR="00741353" w:rsidRDefault="00AF0D74">
      <w:pPr>
        <w:keepNext/>
        <w:spacing w:line="290" w:lineRule="exact"/>
        <w:wordWrap w:val="0"/>
      </w:pPr>
      <w:r>
        <w:rPr>
          <w:rFonts w:ascii="宋体" w:eastAsia="宋体" w:hAnsi="宋体" w:cs="宋体"/>
          <w:color w:val="555555"/>
          <w:sz w:val="19"/>
          <w:szCs w:val="19"/>
        </w:rPr>
        <w:t xml:space="preserve">欧盟／希腊｜2026年9月23日 RASFF 验证公开</w:t>
      </w:r>
    </w:p>
    <w:p w14:paraId="75463394" w14:textId="77777777" w:rsidR="00741353" w:rsidRDefault="00AF0D74">
      <w:pPr>
        <w:keepNext/>
        <w:spacing w:line="360" w:lineRule="exact"/>
        <w:ind w:firstLine="480"/>
        <w:wordWrap w:val="0"/>
        <w:keepLines w:val="1"/>
      </w:pPr>
      <w:r>
        <w:t xml:space="preserve">RASFF 通知 2026.8437 涉及土耳其产塑料食品容器。希腊通报称，负责该批货物的经营者未提供足够的产品文件，原通知援引欧盟法规（EU）2017/625 第15条第3款。该项属于边境拒绝，措施为官方扣留，产品尚未投放市场；风险字段为“潜在风险”。</w:t>
      </w:r>
    </w:p>
    <w:p w14:paraId="75463394" w14:textId="77777777" w:rsidR="00741353" w:rsidRDefault="00AF0D74">
      <w:pPr>
        <w:keepNext/>
        <w:spacing w:line="360" w:lineRule="exact"/>
        <w:ind w:firstLine="480"/>
        <w:wordWrap w:val="0"/>
        <w:keepLines w:val="1"/>
      </w:pPr>
      <w:r>
        <w:t xml:space="preserve">公开详情没有列出具体化学危害或不合格检测数值，不能将其写成迁移超标、污染物检出或健康损害事件。对供应链的启示是将可供主管部门核查的产品文件与货物对应关系纳入出运前检查；通报并未逐项公开缺失文件，不能代其推定具体缺件。</w:t>
      </w:r>
    </w:p>
    <w:p w14:paraId="21359F8A" w14:textId="7BCCA01E" w:rsidR="00741353" w:rsidRDefault="00AF0D74">
      <w:pPr>
        <w:spacing w:after="160" w:line="280" w:lineRule="exact"/>
      </w:pPr>
      <w:r>
        <w:rPr>
          <w:rFonts w:ascii="宋体" w:eastAsia="宋体" w:hAnsi="宋体" w:cs="宋体"/>
          <w:color w:val="555555"/>
          <w:sz w:val="19"/>
          <w:szCs w:val="19"/>
        </w:rPr>
        <w:t xml:space="preserve">来源 </w:t>
      </w:r>
      <w:hyperlink r:id="rIdNewsletterSource4">
        <w:r>
          <w:rPr>
            <w:rFonts w:ascii="宋体" w:eastAsia="宋体" w:hAnsi="宋体" w:cs="宋体"/>
            <w:color w:val="245D83"/>
            <w:sz w:val="19"/>
            <w:szCs w:val="19"/>
            <w:u w:val="single"/>
          </w:rPr>
          <w:t>欧盟 RASFF Window 通知 2026.8437</w:t>
        </w:r>
      </w:hyperlink>
    </w:p>
    <w:p w14:paraId="48D7440C" w14:textId="77777777" w:rsidR="00741353" w:rsidRDefault="00AF0D74">
      <w:pPr>
        <w:pStyle w:val="21"/>
        <w:spacing w:before="140" w:line="380" w:lineRule="exact"/>
        <w:wordWrap w:val="0"/>
      </w:pPr>
      <w:r>
        <w:t xml:space="preserve">明日控股披露西非塑化原料供应链对接进展</w:t>
      </w:r>
    </w:p>
    <w:p w14:paraId="055A539C" w14:textId="77777777" w:rsidR="00741353" w:rsidRDefault="00AF0D74">
      <w:pPr>
        <w:keepNext/>
        <w:spacing w:line="290" w:lineRule="exact"/>
        <w:wordWrap w:val="0"/>
      </w:pPr>
      <w:r>
        <w:rPr>
          <w:rFonts w:ascii="宋体" w:eastAsia="宋体" w:hAnsi="宋体" w:cs="宋体"/>
          <w:color w:val="555555"/>
          <w:sz w:val="19"/>
          <w:szCs w:val="19"/>
        </w:rPr>
        <w:t xml:space="preserve">中国／西非市场｜2026年9月24日企业公开披露</w:t>
      </w:r>
    </w:p>
    <w:p w14:paraId="75463394" w14:textId="77777777" w:rsidR="00741353" w:rsidRDefault="00AF0D74">
      <w:pPr>
        <w:keepNext/>
        <w:spacing w:line="360" w:lineRule="exact"/>
        <w:ind w:firstLine="480"/>
        <w:wordWrap w:val="0"/>
        <w:keepLines w:val="1"/>
      </w:pPr>
      <w:r>
        <w:t xml:space="preserve">浙农控股集团官网9月24日报道，明日控股首次参加在尼日利亚拉各斯举行的西非国际包装展，携塑化原料供应链服务方案与当地企业交流，议题包括原料技术特性、供应保障和应用创新。公司称已与多家潜在合作伙伴达成初步合作意向，并正推进设立尼日利亚公司。</w:t>
      </w:r>
    </w:p>
    <w:p w14:paraId="75463394" w14:textId="77777777" w:rsidR="00741353" w:rsidRDefault="00AF0D74">
      <w:pPr>
        <w:keepNext/>
        <w:spacing w:line="360" w:lineRule="exact"/>
        <w:ind w:firstLine="480"/>
        <w:wordWrap w:val="0"/>
        <w:keepLines w:val="1"/>
      </w:pPr>
      <w:r>
        <w:t xml:space="preserve">本条作为包装原料供应链动态收录。企业尚未在该报道中披露已签订单、销售金额或新增产能，也未提供具体食品接触材料的合规或迁移试验数据；因此不将参展及合作意向写成商业业绩兑现或技术性能验证。</w:t>
      </w:r>
    </w:p>
    <w:p w14:paraId="21359F8A" w14:textId="7BCCA01E" w:rsidR="00741353" w:rsidRDefault="00AF0D74">
      <w:pPr>
        <w:spacing w:after="160" w:line="280" w:lineRule="exact"/>
      </w:pPr>
      <w:r>
        <w:rPr>
          <w:rFonts w:ascii="宋体" w:eastAsia="宋体" w:hAnsi="宋体" w:cs="宋体"/>
          <w:color w:val="555555"/>
          <w:sz w:val="19"/>
          <w:szCs w:val="19"/>
        </w:rPr>
        <w:t xml:space="preserve">来源 </w:t>
      </w:r>
      <w:hyperlink r:id="rIdNewsletterSource5">
        <w:r>
          <w:rPr>
            <w:rFonts w:ascii="宋体" w:eastAsia="宋体" w:hAnsi="宋体" w:cs="宋体"/>
            <w:color w:val="245D83"/>
            <w:sz w:val="19"/>
            <w:szCs w:val="19"/>
            <w:u w:val="single"/>
          </w:rPr>
          <w:t>浙农控股集团企业新闻</w:t>
        </w:r>
      </w:hyperlink>
    </w:p>
    <w:p w14:paraId="7A6D2953" w14:textId="77777777" w:rsidR="00741353" w:rsidRDefault="00AF0D74">
      <w:pPr>
        <w:pStyle w:val="1"/>
        <w:spacing w:before="200" w:line="440" w:lineRule="exact"/>
        <w:wordWrap w:val="0"/>
        <w:pageBreakBefore w:val="0"/>
      </w:pPr>
      <w:r>
        <w:t xml:space="preserve">六、再生循环、绿色包装与行业标准化</w:t>
      </w:r>
    </w:p>
    <w:p w14:paraId="48D7440C" w14:textId="77777777" w:rsidR="00741353" w:rsidRDefault="00AF0D74">
      <w:pPr>
        <w:pStyle w:val="21"/>
        <w:spacing w:before="140" w:line="380" w:lineRule="exact"/>
        <w:wordWrap w:val="0"/>
      </w:pPr>
      <w:r>
        <w:t xml:space="preserve">灵璧开展月饼过度包装专项检查</w:t>
      </w:r>
    </w:p>
    <w:p w14:paraId="055A539C" w14:textId="77777777" w:rsidR="00741353" w:rsidRDefault="00AF0D74">
      <w:pPr>
        <w:keepNext/>
        <w:spacing w:line="290" w:lineRule="exact"/>
        <w:wordWrap w:val="0"/>
      </w:pPr>
      <w:r>
        <w:rPr>
          <w:rFonts w:ascii="宋体" w:eastAsia="宋体" w:hAnsi="宋体" w:cs="宋体"/>
          <w:color w:val="555555"/>
          <w:sz w:val="19"/>
          <w:szCs w:val="19"/>
        </w:rPr>
        <w:t xml:space="preserve">中国／安徽｜2026年9月23日17:19官方发布</w:t>
      </w:r>
    </w:p>
    <w:p w14:paraId="75463394" w14:textId="77777777" w:rsidR="00741353" w:rsidRDefault="00AF0D74">
      <w:pPr>
        <w:keepNext/>
        <w:spacing w:line="360" w:lineRule="exact"/>
        <w:ind w:firstLine="480"/>
        <w:wordWrap w:val="0"/>
        <w:keepLines w:val="1"/>
      </w:pPr>
      <w:r>
        <w:t xml:space="preserve">宿州市市场监管局网站通报，灵璧县市场监管局在中秋、国庆节前开展月饼过度包装专项检查。通报明确以 GB 23350—2021《限制商品过度包装要求 食品和化妆品》为检查依据，检查重点包括月饼礼盒包装层数、空隙率、贵金属或红木材料使用，以及与其他产品混装情况。</w:t>
      </w:r>
    </w:p>
    <w:p w14:paraId="75463394" w14:textId="77777777" w:rsidR="00741353" w:rsidRDefault="00AF0D74">
      <w:pPr>
        <w:keepNext/>
        <w:spacing w:line="360" w:lineRule="exact"/>
        <w:ind w:firstLine="480"/>
        <w:wordWrap w:val="0"/>
        <w:keepLines w:val="1"/>
      </w:pPr>
      <w:r>
        <w:t xml:space="preserve">执法人员同步向经营者开展法规宣传，督促落实主体责任，并提醒消费者选择简约包装。该通报没有公布抽检批次、不合格数量或处罚结果，本条属于当期监管行动信息，不应计作已确认违法案例。对包装供应商而言，实物包装结构及组合方式仍需与客户产品一并核对。</w:t>
      </w:r>
    </w:p>
    <w:p w14:paraId="21359F8A" w14:textId="7BCCA01E" w:rsidR="00741353" w:rsidRDefault="00AF0D74">
      <w:pPr>
        <w:spacing w:after="160" w:line="280" w:lineRule="exact"/>
      </w:pPr>
      <w:r>
        <w:rPr>
          <w:rFonts w:ascii="宋体" w:eastAsia="宋体" w:hAnsi="宋体" w:cs="宋体"/>
          <w:color w:val="555555"/>
          <w:sz w:val="19"/>
          <w:szCs w:val="19"/>
        </w:rPr>
        <w:t xml:space="preserve">来源 </w:t>
      </w:r>
      <w:hyperlink r:id="rIdNewsletterSource6">
        <w:r>
          <w:rPr>
            <w:rFonts w:ascii="宋体" w:eastAsia="宋体" w:hAnsi="宋体" w:cs="宋体"/>
            <w:color w:val="245D83"/>
            <w:sz w:val="19"/>
            <w:szCs w:val="19"/>
            <w:u w:val="single"/>
          </w:rPr>
          <w:t>宿州市市场监督管理局官方通报</w:t>
        </w:r>
      </w:hyperlink>
    </w:p>
    <w:p w14:paraId="7234CB7C" w14:textId="77777777" w:rsidR="00741353" w:rsidRDefault="00AF0D74">
      <w:pPr>
        <w:pStyle w:val="21"/>
        <w:spacing w:before="140" w:line="380" w:lineRule="exact"/>
      </w:pPr>
      <w:r>
        <w:t>使用说明</w:t>
      </w:r>
    </w:p>
    <w:p w14:paraId="6E6F4F60" w14:textId="77777777" w:rsidR="00741353" w:rsidRDefault="00AF0D74">
      <w:pPr>
        <w:spacing w:line="290" w:lineRule="exact"/>
        <w:wordWrap w:val="0"/>
      </w:pPr>
      <w:r>
        <w:rPr>
          <w:sz w:val="21"/>
          <w:szCs w:val="21"/>
        </w:rPr>
        <w:t xml:space="preserve">内部测试版。仅纳入原文及所需附件已核实的条目，一般来源仍有访问与覆盖局限，空栏不表示相关领域本周无更新。GB 31667-2026仅采用公告发布信息及编号、名称，未取得标准全文，不提供实施日期或技术条款结论。RASFF采用可追溯的历史详情，不混入窗后更新；企业信息按公开披露表述。未核清正文或公开日期的候选未纳入，FDA通知的生效日期不代替首次公开日期。</w:t>
      </w:r>
    </w:p>
    <w:sectPr w:rsidR="00741353" w:rsidSect="00034616">
      <w:headerReference w:type="even" r:id="rId25"/>
      <w:headerReference w:type="default" r:id="rId26"/>
      <w:footerReference w:type="even" r:id="rId27"/>
      <w:footerReference w:type="default" r:id="rId28"/>
      <w:headerReference w:type="first" r:id="rId29"/>
      <w:footerReference w:type="first" r:id="rId30"/>
      <w:pgSz w:w="11906" w:h="16838"/>
      <w:pgMar w:top="1020" w:right="1134" w:bottom="964" w:left="1134" w:header="425" w:footer="42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B45706" w14:textId="77777777" w:rsidR="00AF0D74" w:rsidRDefault="00AF0D74">
      <w:pPr>
        <w:spacing w:after="0" w:line="240" w:lineRule="auto"/>
      </w:pPr>
      <w:r>
        <w:separator/>
      </w:r>
    </w:p>
  </w:endnote>
  <w:endnote w:type="continuationSeparator" w:id="0">
    <w:p w14:paraId="0BB8E7FE" w14:textId="77777777" w:rsidR="00AF0D74" w:rsidRDefault="00AF0D74">
      <w:pPr>
        <w:spacing w:after="0" w:line="240" w:lineRule="auto"/>
      </w:pPr>
      <w:r>
        <w:continuationSeparator/>
      </w:r>
    </w:p>
  </w:endnote>
</w:endnotes>
</file>

<file path=word/fontTable.xml><?xml version="1.0" encoding="utf-8"?>
<w:fonts xmlns:w="http://schemas.openxmlformats.org/wordprocessingml/2006/main">
  <w:font w:name="宋体">
    <w:charset w:val="86"/>
  </w:font>
  <w:font w:name="黑体">
    <w:charset w:val="8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BA4F8" w14:textId="77777777" w:rsidR="006F4FFB" w:rsidRDefault="006F4FFB">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9F7E9" w14:textId="77777777" w:rsidR="00071710" w:rsidRDefault="008A38A6">
    <w:pPr>
      <w:spacing w:line="240" w:lineRule="exact"/>
      <w:jc w:val="right"/>
    </w:pPr>
    <w:r>
      <w:rPr>
        <w:rFonts w:ascii="宋体" w:eastAsia="宋体" w:hAnsi="宋体" w:cs="宋体"/>
        <w:color w:val="555555"/>
        <w:sz w:val="17"/>
        <w:szCs w:val="17"/>
      </w:rPr>
      <w:t xml:space="preserve">食品接触材料行业资讯周报（内部测试版）  第 </w:t>
    </w:r>
    <w:r w:rsidR="00071710">
      <w:rPr>
        <w:rFonts w:ascii="宋体" w:eastAsia="宋体" w:hAnsi="宋体" w:cs="宋体"/>
        <w:color w:val="555555"/>
        <w:sz w:val="17"/>
        <w:szCs w:val="17"/>
      </w:rPr>
      <w:fldChar w:fldCharType="begin"/>
    </w:r>
    <w:r w:rsidR="00071710">
      <w:rPr>
        <w:rFonts w:ascii="宋体" w:eastAsia="宋体" w:hAnsi="宋体" w:cs="宋体"/>
        <w:color w:val="555555"/>
        <w:sz w:val="17"/>
        <w:szCs w:val="17"/>
      </w:rPr>
      <w:instrText>PAGE</w:instrText>
    </w:r>
    <w:r w:rsidR="00071710">
      <w:rPr>
        <w:rFonts w:ascii="宋体" w:eastAsia="宋体" w:hAnsi="宋体" w:cs="宋体"/>
        <w:color w:val="555555"/>
        <w:sz w:val="17"/>
        <w:szCs w:val="17"/>
      </w:rPr>
      <w:fldChar w:fldCharType="separate"/>
    </w:r>
    <w:r w:rsidR="00144C9B">
      <w:rPr>
        <w:rFonts w:ascii="宋体" w:eastAsia="宋体" w:hAnsi="宋体" w:cs="宋体"/>
        <w:noProof/>
        <w:color w:val="555555"/>
        <w:sz w:val="17"/>
        <w:szCs w:val="17"/>
      </w:rPr>
      <w:t>1</w:t>
    </w:r>
    <w:r w:rsidR="00071710">
      <w:rPr>
        <w:rFonts w:ascii="宋体" w:eastAsia="宋体" w:hAnsi="宋体" w:cs="宋体"/>
        <w:color w:val="555555"/>
        <w:sz w:val="17"/>
        <w:szCs w:val="17"/>
      </w:rPr>
      <w:fldChar w:fldCharType="end"/>
    </w:r>
    <w:r>
      <w:rPr>
        <w:rFonts w:ascii="宋体" w:eastAsia="宋体" w:hAnsi="宋体" w:cs="宋体"/>
        <w:color w:val="555555"/>
        <w:sz w:val="17"/>
        <w:szCs w:val="17"/>
      </w:rPr>
      <w:t xml:space="preserve"> 页</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45EE6" w14:textId="77777777" w:rsidR="006F4FFB" w:rsidRDefault="006F4FFB">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212EAF" w14:textId="77777777" w:rsidR="00AF0D74" w:rsidRDefault="00AF0D74">
      <w:pPr>
        <w:spacing w:after="0" w:line="240" w:lineRule="auto"/>
      </w:pPr>
      <w:r>
        <w:separator/>
      </w:r>
    </w:p>
  </w:footnote>
  <w:footnote w:type="continuationSeparator" w:id="0">
    <w:p w14:paraId="01EFFB83" w14:textId="77777777" w:rsidR="00AF0D74" w:rsidRDefault="00AF0D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3C5E0" w14:textId="77777777" w:rsidR="006F4FFB" w:rsidRDefault="006F4FFB">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AEF97" w14:textId="77777777" w:rsidR="00071710" w:rsidRDefault="00071710">
    <w:pPr>
      <w:pStyle w:val="a5"/>
      <w:spacing w:line="240" w:lineRule="exac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D9213" w14:textId="77777777" w:rsidR="006F4FFB" w:rsidRDefault="006F4FFB">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宋体" w:eastAsia="宋体" w:hAnsi="宋体" w:cs="宋体" w:hint="eastAsia"/>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宋体" w:eastAsia="宋体" w:hAnsi="宋体" w:cs="宋体" w:hint="eastAsia"/>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宋体" w:eastAsia="宋体" w:hAnsi="宋体" w:cs="宋体" w:hint="eastAsia"/>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宋体" w:eastAsia="宋体" w:hAnsi="宋体" w:cs="宋体" w:hint="eastAsia"/>
      </w:rPr>
    </w:lvl>
  </w:abstractNum>
  <w:num w:numId="1" w16cid:durableId="1450274729">
    <w:abstractNumId w:val="8"/>
  </w:num>
  <w:num w:numId="2" w16cid:durableId="33821294">
    <w:abstractNumId w:val="6"/>
  </w:num>
  <w:num w:numId="3" w16cid:durableId="657615895">
    <w:abstractNumId w:val="5"/>
  </w:num>
  <w:num w:numId="4" w16cid:durableId="100497808">
    <w:abstractNumId w:val="4"/>
  </w:num>
  <w:num w:numId="5" w16cid:durableId="540869003">
    <w:abstractNumId w:val="7"/>
  </w:num>
  <w:num w:numId="6" w16cid:durableId="9527193">
    <w:abstractNumId w:val="3"/>
  </w:num>
  <w:num w:numId="7" w16cid:durableId="1123765509">
    <w:abstractNumId w:val="2"/>
  </w:num>
  <w:num w:numId="8" w16cid:durableId="1083721945">
    <w:abstractNumId w:val="1"/>
  </w:num>
  <w:num w:numId="9" w16cid:durableId="14187929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hideSpellingErrors w:val="true"/>
  <w:zoom w:percent="100"/>
  <w:bordersDoNotSurroundHeader/>
  <w:bordersDoNotSurroundFooter/>
  <w:hideGrammaticalErrors w:val="true"/>
  <w:revisionView w:markup="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155C"/>
    <w:rsid w:val="00034616"/>
    <w:rsid w:val="0006063C"/>
    <w:rsid w:val="00071710"/>
    <w:rsid w:val="00144C9B"/>
    <w:rsid w:val="0015074B"/>
    <w:rsid w:val="00192115"/>
    <w:rsid w:val="0029639D"/>
    <w:rsid w:val="00326F90"/>
    <w:rsid w:val="005E45C4"/>
    <w:rsid w:val="006F4FFB"/>
    <w:rsid w:val="00741353"/>
    <w:rsid w:val="00870DE8"/>
    <w:rsid w:val="008A38A6"/>
    <w:rsid w:val="00962205"/>
    <w:rsid w:val="00AA1D8D"/>
    <w:rsid w:val="00AE4301"/>
    <w:rsid w:val="00AF0D74"/>
    <w:rsid w:val="00B47730"/>
    <w:rsid w:val="00C42746"/>
    <w:rsid w:val="00C6280B"/>
    <w:rsid w:val="00CB0664"/>
    <w:rsid w:val="00F2417D"/>
    <w:rsid w:val="00F7750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7DC731B"/>
  <w14:defaultImageDpi w14:val="330"/>
  <w15:docId w15:val="{E17F98DE-E812-4396-81C7-FF1712B34E39}"/>
  <w:embedTrueTypeFonts w:val="false"/>
  <w:saveSubsetFonts w:val="false"/>
  <w:embedSystemFonts w:val="fals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宋体" w:eastAsia="宋体" w:hAnsi="宋体" w:cs="宋体" w:hint="eastAsia"/>
        <w:color w:val="000000"/>
        <w:sz w:val="24"/>
        <w:szCs w:val="24"/>
        <w:lang w:val="zh-CN"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napToGrid w:val="0"/>
      <w:spacing w:after="80" w:line="308" w:lineRule="exact"/>
    </w:pPr>
  </w:style>
  <w:style w:type="paragraph" w:styleId="1">
    <w:name w:val="heading 1"/>
    <w:basedOn w:val="a1"/>
    <w:next w:val="a1"/>
    <w:link w:val="10"/>
    <w:uiPriority w:val="9"/>
    <w:qFormat/>
    <w:rsid w:val="00FC693F"/>
    <w:pPr>
      <w:keepNext/>
      <w:keepLines/>
      <w:spacing w:before="220" w:line="420" w:lineRule="exact"/>
      <w:outlineLvl w:val="0"/>
    </w:pPr>
    <w:rPr>
      <w:rFonts w:ascii="黑体" w:eastAsia="黑体" w:hAnsi="黑体" w:cs="黑体"/>
      <w:b/>
      <w:bCs/>
      <w:sz w:val="30"/>
      <w:szCs w:val="30"/>
    </w:rPr>
  </w:style>
  <w:style w:type="paragraph" w:styleId="21">
    <w:name w:val="heading 2"/>
    <w:basedOn w:val="a1"/>
    <w:next w:val="a1"/>
    <w:link w:val="22"/>
    <w:uiPriority w:val="9"/>
    <w:unhideWhenUsed/>
    <w:qFormat/>
    <w:rsid w:val="00FC693F"/>
    <w:pPr>
      <w:keepNext/>
      <w:keepLines/>
      <w:spacing w:before="220" w:line="336" w:lineRule="exact"/>
      <w:outlineLvl w:val="1"/>
    </w:pPr>
    <w:rPr>
      <w:rFonts w:ascii="黑体" w:eastAsia="黑体" w:hAnsi="黑体" w:cs="黑体"/>
      <w:b/>
      <w:bCs/>
      <w:sz w:val="25"/>
      <w:szCs w:val="25"/>
    </w:rPr>
  </w:style>
  <w:style w:type="paragraph" w:styleId="31">
    <w:name w:val="heading 3"/>
    <w:basedOn w:val="a1"/>
    <w:next w:val="a1"/>
    <w:link w:val="32"/>
    <w:uiPriority w:val="9"/>
    <w:unhideWhenUsed/>
    <w:qFormat/>
    <w:rsid w:val="00FC693F"/>
    <w:pPr>
      <w:keepNext/>
      <w:keepLines/>
      <w:spacing w:before="200" w:after="0"/>
      <w:outlineLvl w:val="2"/>
    </w:pPr>
    <w:rPr>
      <w:rFonts w:ascii="黑体" w:eastAsia="黑体" w:hAnsi="黑体" w:cs="黑体"/>
      <w:b/>
      <w:bCs/>
    </w:rPr>
  </w:style>
  <w:style w:type="paragraph" w:styleId="4">
    <w:name w:val="heading 4"/>
    <w:basedOn w:val="a1"/>
    <w:next w:val="a1"/>
    <w:link w:val="40"/>
    <w:uiPriority w:val="9"/>
    <w:semiHidden/>
    <w:unhideWhenUsed/>
    <w:qFormat/>
    <w:rsid w:val="00FC693F"/>
    <w:pPr>
      <w:keepNext/>
      <w:keepLines/>
      <w:spacing w:before="200" w:after="0"/>
      <w:outlineLvl w:val="3"/>
    </w:pPr>
    <w:rPr>
      <w:rFonts w:ascii="黑体" w:eastAsia="黑体" w:hAnsi="黑体" w:cs="黑体"/>
      <w:b/>
      <w:bCs/>
      <w:iCs/>
    </w:rPr>
  </w:style>
  <w:style w:type="paragraph" w:styleId="5">
    <w:name w:val="heading 5"/>
    <w:basedOn w:val="a1"/>
    <w:next w:val="a1"/>
    <w:link w:val="50"/>
    <w:uiPriority w:val="9"/>
    <w:semiHidden/>
    <w:unhideWhenUsed/>
    <w:qFormat/>
    <w:rsid w:val="00FC693F"/>
    <w:pPr>
      <w:keepNext/>
      <w:keepLines/>
      <w:spacing w:before="200" w:after="0"/>
      <w:outlineLvl w:val="4"/>
    </w:pPr>
    <w:rPr>
      <w:rFonts w:ascii="宋体" w:eastAsia="宋体" w:hAnsi="宋体" w:cs="宋体"/>
    </w:rPr>
  </w:style>
  <w:style w:type="paragraph" w:styleId="6">
    <w:name w:val="heading 6"/>
    <w:basedOn w:val="a1"/>
    <w:next w:val="a1"/>
    <w:link w:val="60"/>
    <w:uiPriority w:val="9"/>
    <w:semiHidden/>
    <w:unhideWhenUsed/>
    <w:qFormat/>
    <w:rsid w:val="00FC693F"/>
    <w:pPr>
      <w:keepNext/>
      <w:keepLines/>
      <w:spacing w:before="200" w:after="0"/>
      <w:outlineLvl w:val="5"/>
    </w:pPr>
    <w:rPr>
      <w:rFonts w:ascii="宋体" w:eastAsia="宋体" w:hAnsi="宋体" w:cs="宋体"/>
      <w:iCs/>
    </w:rPr>
  </w:style>
  <w:style w:type="paragraph" w:styleId="7">
    <w:name w:val="heading 7"/>
    <w:basedOn w:val="a1"/>
    <w:next w:val="a1"/>
    <w:link w:val="70"/>
    <w:uiPriority w:val="9"/>
    <w:semiHidden/>
    <w:unhideWhenUsed/>
    <w:qFormat/>
    <w:rsid w:val="00FC693F"/>
    <w:pPr>
      <w:keepNext/>
      <w:keepLines/>
      <w:spacing w:before="200" w:after="0"/>
      <w:outlineLvl w:val="6"/>
    </w:pPr>
    <w:rPr>
      <w:rFonts w:ascii="宋体" w:eastAsia="宋体" w:hAnsi="宋体" w:cs="宋体"/>
      <w:iCs/>
    </w:rPr>
  </w:style>
  <w:style w:type="paragraph" w:styleId="8">
    <w:name w:val="heading 8"/>
    <w:basedOn w:val="a1"/>
    <w:next w:val="a1"/>
    <w:link w:val="80"/>
    <w:uiPriority w:val="9"/>
    <w:semiHidden/>
    <w:unhideWhenUsed/>
    <w:qFormat/>
    <w:rsid w:val="00FC693F"/>
    <w:pPr>
      <w:keepNext/>
      <w:keepLines/>
      <w:spacing w:before="200" w:after="0"/>
      <w:outlineLvl w:val="7"/>
    </w:pPr>
    <w:rPr>
      <w:rFonts w:ascii="宋体" w:eastAsia="宋体" w:hAnsi="宋体" w:cs="宋体"/>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宋体" w:eastAsia="宋体" w:hAnsi="宋体" w:cs="宋体"/>
      <w:iCs/>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页眉 字符"/>
    <w:basedOn w:val="a2"/>
    <w:link w:val="a5"/>
    <w:uiPriority w:val="99"/>
    <w:rsid w:val="00E618BF"/>
    <w:rPr>
      <w:rFonts w:ascii="宋体" w:eastAsia="宋体" w:hAnsi="宋体" w:cs="宋体" w:hint="eastAsia"/>
      <w:i w:val="0"/>
      <w:color w:val="000000"/>
      <w:lang w:val="zh-CN" w:eastAsia="zh-CN"/>
    </w:rPr>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页脚 字符"/>
    <w:basedOn w:val="a2"/>
    <w:link w:val="a7"/>
    <w:uiPriority w:val="99"/>
    <w:rsid w:val="00E618BF"/>
    <w:rPr>
      <w:rFonts w:ascii="宋体" w:eastAsia="宋体" w:hAnsi="宋体" w:cs="宋体" w:hint="eastAsia"/>
      <w:i w:val="0"/>
      <w:color w:val="000000"/>
      <w:lang w:val="zh-CN" w:eastAsia="zh-CN"/>
    </w:rPr>
  </w:style>
  <w:style w:type="paragraph" w:styleId="a9">
    <w:name w:val="No Spacing"/>
    <w:uiPriority w:val="1"/>
    <w:qFormat/>
    <w:rsid w:val="00FC693F"/>
    <w:pPr>
      <w:spacing w:after="0" w:line="240" w:lineRule="auto"/>
    </w:pPr>
  </w:style>
  <w:style w:type="character" w:customStyle="1" w:styleId="10">
    <w:name w:val="标题 1 字符"/>
    <w:basedOn w:val="a2"/>
    <w:link w:val="1"/>
    <w:uiPriority w:val="9"/>
    <w:rsid w:val="00FC693F"/>
    <w:rPr>
      <w:rFonts w:ascii="黑体" w:eastAsia="黑体" w:hAnsi="黑体" w:cs="黑体" w:hint="eastAsia"/>
      <w:b/>
      <w:bCs/>
      <w:i w:val="0"/>
      <w:color w:val="000000"/>
      <w:sz w:val="28"/>
      <w:szCs w:val="28"/>
      <w:lang w:val="zh-CN" w:eastAsia="zh-CN"/>
    </w:rPr>
  </w:style>
  <w:style w:type="character" w:customStyle="1" w:styleId="22">
    <w:name w:val="标题 2 字符"/>
    <w:basedOn w:val="a2"/>
    <w:link w:val="21"/>
    <w:uiPriority w:val="9"/>
    <w:rsid w:val="00FC693F"/>
    <w:rPr>
      <w:rFonts w:ascii="黑体" w:eastAsia="黑体" w:hAnsi="黑体" w:cs="黑体" w:hint="eastAsia"/>
      <w:b/>
      <w:bCs/>
      <w:i w:val="0"/>
      <w:color w:val="000000"/>
      <w:sz w:val="26"/>
      <w:szCs w:val="26"/>
      <w:lang w:val="zh-CN" w:eastAsia="zh-CN"/>
    </w:rPr>
  </w:style>
  <w:style w:type="character" w:customStyle="1" w:styleId="32">
    <w:name w:val="标题 3 字符"/>
    <w:basedOn w:val="a2"/>
    <w:link w:val="31"/>
    <w:uiPriority w:val="9"/>
    <w:rsid w:val="00FC693F"/>
    <w:rPr>
      <w:rFonts w:ascii="黑体" w:eastAsia="黑体" w:hAnsi="黑体" w:cs="黑体" w:hint="eastAsia"/>
      <w:b/>
      <w:bCs/>
      <w:i w:val="0"/>
      <w:color w:val="000000"/>
      <w:lang w:val="zh-CN" w:eastAsia="zh-CN"/>
    </w:rPr>
  </w:style>
  <w:style w:type="paragraph" w:styleId="aa">
    <w:name w:val="Title"/>
    <w:basedOn w:val="a1"/>
    <w:next w:val="a1"/>
    <w:link w:val="ab"/>
    <w:uiPriority w:val="10"/>
    <w:qFormat/>
    <w:rsid w:val="00FC693F"/>
    <w:pPr>
      <w:spacing w:line="700" w:lineRule="exact"/>
      <w:contextualSpacing/>
    </w:pPr>
    <w:rPr>
      <w:rFonts w:ascii="黑体" w:eastAsia="黑体" w:hAnsi="黑体" w:cs="黑体"/>
      <w:b/>
      <w:bCs/>
      <w:sz w:val="46"/>
      <w:szCs w:val="46"/>
    </w:rPr>
  </w:style>
  <w:style w:type="character" w:customStyle="1" w:styleId="ab">
    <w:name w:val="标题 字符"/>
    <w:basedOn w:val="a2"/>
    <w:link w:val="aa"/>
    <w:uiPriority w:val="10"/>
    <w:rsid w:val="00FC693F"/>
    <w:rPr>
      <w:rFonts w:ascii="宋体" w:eastAsia="宋体" w:hAnsi="宋体" w:cs="宋体" w:hint="eastAsia"/>
      <w:i w:val="0"/>
      <w:color w:val="000000"/>
      <w:sz w:val="52"/>
      <w:szCs w:val="52"/>
      <w:lang w:val="zh-CN" w:eastAsia="zh-CN"/>
    </w:rPr>
  </w:style>
  <w:style w:type="paragraph" w:styleId="ac">
    <w:name w:val="Subtitle"/>
    <w:basedOn w:val="a1"/>
    <w:next w:val="a1"/>
    <w:link w:val="ad"/>
    <w:uiPriority w:val="11"/>
    <w:qFormat/>
    <w:rsid w:val="00FC693F"/>
    <w:pPr>
      <w:numPr>
        <w:ilvl w:val="1"/>
      </w:numPr>
    </w:pPr>
    <w:rPr>
      <w:rFonts w:ascii="宋体" w:eastAsia="宋体" w:hAnsi="宋体" w:cs="宋体"/>
      <w:iCs/>
      <w:sz w:val="22"/>
      <w:szCs w:val="22"/>
    </w:rPr>
  </w:style>
  <w:style w:type="character" w:customStyle="1" w:styleId="ad">
    <w:name w:val="副标题 字符"/>
    <w:basedOn w:val="a2"/>
    <w:link w:val="ac"/>
    <w:uiPriority w:val="11"/>
    <w:rsid w:val="00FC693F"/>
    <w:rPr>
      <w:rFonts w:ascii="宋体" w:eastAsia="宋体" w:hAnsi="宋体" w:cs="宋体" w:hint="eastAsia"/>
      <w:i w:val="0"/>
      <w:iCs/>
      <w:color w:val="000000"/>
      <w:sz w:val="24"/>
      <w:szCs w:val="24"/>
      <w:lang w:val="zh-CN" w:eastAsia="zh-CN"/>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style>
  <w:style w:type="character" w:customStyle="1" w:styleId="af0">
    <w:name w:val="正文文本 字符"/>
    <w:basedOn w:val="a2"/>
    <w:link w:val="af"/>
    <w:uiPriority w:val="99"/>
    <w:rsid w:val="00AA1D8D"/>
    <w:rPr>
      <w:rFonts w:ascii="宋体" w:eastAsia="宋体" w:hAnsi="宋体" w:cs="宋体" w:hint="eastAsia"/>
      <w:i w:val="0"/>
      <w:color w:val="000000"/>
      <w:lang w:val="zh-CN" w:eastAsia="zh-CN"/>
    </w:rPr>
  </w:style>
  <w:style w:type="paragraph" w:styleId="23">
    <w:name w:val="Body Text 2"/>
    <w:basedOn w:val="a1"/>
    <w:link w:val="24"/>
    <w:uiPriority w:val="99"/>
    <w:unhideWhenUsed/>
    <w:rsid w:val="00AA1D8D"/>
    <w:pPr>
      <w:spacing w:line="480" w:lineRule="auto"/>
    </w:pPr>
  </w:style>
  <w:style w:type="character" w:customStyle="1" w:styleId="24">
    <w:name w:val="正文文本 2 字符"/>
    <w:basedOn w:val="a2"/>
    <w:link w:val="23"/>
    <w:uiPriority w:val="99"/>
    <w:rsid w:val="00AA1D8D"/>
    <w:rPr>
      <w:rFonts w:ascii="宋体" w:eastAsia="宋体" w:hAnsi="宋体" w:cs="宋体" w:hint="eastAsia"/>
      <w:i w:val="0"/>
      <w:color w:val="000000"/>
      <w:lang w:val="zh-CN" w:eastAsia="zh-CN"/>
    </w:rPr>
  </w:style>
  <w:style w:type="paragraph" w:styleId="33">
    <w:name w:val="Body Text 3"/>
    <w:basedOn w:val="a1"/>
    <w:link w:val="34"/>
    <w:uiPriority w:val="99"/>
    <w:unhideWhenUsed/>
    <w:rsid w:val="00AA1D8D"/>
    <w:rPr>
      <w:sz w:val="16"/>
      <w:szCs w:val="16"/>
    </w:rPr>
  </w:style>
  <w:style w:type="character" w:customStyle="1" w:styleId="34">
    <w:name w:val="正文文本 3 字符"/>
    <w:basedOn w:val="a2"/>
    <w:link w:val="33"/>
    <w:uiPriority w:val="99"/>
    <w:rsid w:val="00AA1D8D"/>
    <w:rPr>
      <w:rFonts w:ascii="宋体" w:eastAsia="宋体" w:hAnsi="宋体" w:cs="宋体" w:hint="eastAsia"/>
      <w:i w:val="0"/>
      <w:color w:val="000000"/>
      <w:sz w:val="16"/>
      <w:szCs w:val="16"/>
      <w:lang w:val="zh-CN" w:eastAsia="zh-CN"/>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ind w:left="360"/>
      <w:contextualSpacing/>
    </w:pPr>
  </w:style>
  <w:style w:type="paragraph" w:styleId="26">
    <w:name w:val="List Continue 2"/>
    <w:basedOn w:val="a1"/>
    <w:uiPriority w:val="99"/>
    <w:unhideWhenUsed/>
    <w:rsid w:val="0029639D"/>
    <w:pPr>
      <w:ind w:left="720"/>
      <w:contextualSpacing/>
    </w:pPr>
  </w:style>
  <w:style w:type="paragraph" w:styleId="36">
    <w:name w:val="List Continue 3"/>
    <w:basedOn w:val="a1"/>
    <w:uiPriority w:val="99"/>
    <w:unhideWhenUsed/>
    <w:rsid w:val="0029639D"/>
    <w:pPr>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sz w:val="20"/>
      <w:szCs w:val="20"/>
    </w:rPr>
  </w:style>
  <w:style w:type="character" w:customStyle="1" w:styleId="af4">
    <w:name w:val="宏文本 字符"/>
    <w:basedOn w:val="a2"/>
    <w:link w:val="af3"/>
    <w:uiPriority w:val="99"/>
    <w:rsid w:val="0029639D"/>
    <w:rPr>
      <w:rFonts w:ascii="宋体" w:eastAsia="宋体" w:hAnsi="宋体" w:cs="宋体" w:hint="eastAsia"/>
      <w:i w:val="0"/>
      <w:color w:val="000000"/>
      <w:sz w:val="20"/>
      <w:szCs w:val="20"/>
      <w:lang w:val="zh-CN" w:eastAsia="zh-CN"/>
    </w:rPr>
  </w:style>
  <w:style w:type="paragraph" w:styleId="af5">
    <w:name w:val="Quote"/>
    <w:basedOn w:val="a1"/>
    <w:next w:val="a1"/>
    <w:link w:val="af6"/>
    <w:uiPriority w:val="29"/>
    <w:qFormat/>
    <w:rsid w:val="00FC693F"/>
    <w:rPr>
      <w:iCs/>
    </w:rPr>
  </w:style>
  <w:style w:type="character" w:customStyle="1" w:styleId="af6">
    <w:name w:val="引用 字符"/>
    <w:basedOn w:val="a2"/>
    <w:link w:val="af5"/>
    <w:uiPriority w:val="29"/>
    <w:rsid w:val="00FC693F"/>
    <w:rPr>
      <w:rFonts w:ascii="宋体" w:eastAsia="宋体" w:hAnsi="宋体" w:cs="宋体" w:hint="eastAsia"/>
      <w:i w:val="0"/>
      <w:iCs/>
      <w:color w:val="000000"/>
      <w:lang w:val="zh-CN" w:eastAsia="zh-CN"/>
    </w:rPr>
  </w:style>
  <w:style w:type="character" w:customStyle="1" w:styleId="40">
    <w:name w:val="标题 4 字符"/>
    <w:basedOn w:val="a2"/>
    <w:link w:val="4"/>
    <w:uiPriority w:val="9"/>
    <w:semiHidden/>
    <w:rsid w:val="00FC693F"/>
    <w:rPr>
      <w:rFonts w:ascii="黑体" w:eastAsia="黑体" w:hAnsi="黑体" w:cs="黑体" w:hint="eastAsia"/>
      <w:b/>
      <w:bCs/>
      <w:i w:val="0"/>
      <w:iCs/>
      <w:color w:val="000000"/>
      <w:lang w:val="zh-CN" w:eastAsia="zh-CN"/>
    </w:rPr>
  </w:style>
  <w:style w:type="character" w:customStyle="1" w:styleId="50">
    <w:name w:val="标题 5 字符"/>
    <w:basedOn w:val="a2"/>
    <w:link w:val="5"/>
    <w:uiPriority w:val="9"/>
    <w:semiHidden/>
    <w:rsid w:val="00FC693F"/>
    <w:rPr>
      <w:rFonts w:ascii="宋体" w:eastAsia="宋体" w:hAnsi="宋体" w:cs="宋体" w:hint="eastAsia"/>
      <w:i w:val="0"/>
      <w:color w:val="000000"/>
      <w:lang w:val="zh-CN" w:eastAsia="zh-CN"/>
    </w:rPr>
  </w:style>
  <w:style w:type="character" w:customStyle="1" w:styleId="60">
    <w:name w:val="标题 6 字符"/>
    <w:basedOn w:val="a2"/>
    <w:link w:val="6"/>
    <w:uiPriority w:val="9"/>
    <w:semiHidden/>
    <w:rsid w:val="00FC693F"/>
    <w:rPr>
      <w:rFonts w:ascii="宋体" w:eastAsia="宋体" w:hAnsi="宋体" w:cs="宋体" w:hint="eastAsia"/>
      <w:i w:val="0"/>
      <w:iCs/>
      <w:color w:val="000000"/>
      <w:lang w:val="zh-CN" w:eastAsia="zh-CN"/>
    </w:rPr>
  </w:style>
  <w:style w:type="character" w:customStyle="1" w:styleId="70">
    <w:name w:val="标题 7 字符"/>
    <w:basedOn w:val="a2"/>
    <w:link w:val="7"/>
    <w:uiPriority w:val="9"/>
    <w:semiHidden/>
    <w:rsid w:val="00FC693F"/>
    <w:rPr>
      <w:rFonts w:ascii="宋体" w:eastAsia="宋体" w:hAnsi="宋体" w:cs="宋体" w:hint="eastAsia"/>
      <w:i w:val="0"/>
      <w:iCs/>
      <w:color w:val="000000"/>
      <w:lang w:val="zh-CN" w:eastAsia="zh-CN"/>
    </w:rPr>
  </w:style>
  <w:style w:type="character" w:customStyle="1" w:styleId="80">
    <w:name w:val="标题 8 字符"/>
    <w:basedOn w:val="a2"/>
    <w:link w:val="8"/>
    <w:uiPriority w:val="9"/>
    <w:semiHidden/>
    <w:rsid w:val="00FC693F"/>
    <w:rPr>
      <w:rFonts w:ascii="宋体" w:eastAsia="宋体" w:hAnsi="宋体" w:cs="宋体" w:hint="eastAsia"/>
      <w:i w:val="0"/>
      <w:color w:val="000000"/>
      <w:sz w:val="20"/>
      <w:szCs w:val="20"/>
      <w:lang w:val="zh-CN" w:eastAsia="zh-CN"/>
    </w:rPr>
  </w:style>
  <w:style w:type="character" w:customStyle="1" w:styleId="90">
    <w:name w:val="标题 9 字符"/>
    <w:basedOn w:val="a2"/>
    <w:link w:val="9"/>
    <w:uiPriority w:val="9"/>
    <w:semiHidden/>
    <w:rsid w:val="00FC693F"/>
    <w:rPr>
      <w:rFonts w:ascii="宋体" w:eastAsia="宋体" w:hAnsi="宋体" w:cs="宋体" w:hint="eastAsia"/>
      <w:i w:val="0"/>
      <w:iCs/>
      <w:color w:val="000000"/>
      <w:sz w:val="20"/>
      <w:szCs w:val="20"/>
      <w:lang w:val="zh-CN" w:eastAsia="zh-CN"/>
    </w:rPr>
  </w:style>
  <w:style w:type="paragraph" w:styleId="af7">
    <w:name w:val="caption"/>
    <w:basedOn w:val="a1"/>
    <w:next w:val="a1"/>
    <w:uiPriority w:val="35"/>
    <w:semiHidden/>
    <w:unhideWhenUsed/>
    <w:qFormat/>
    <w:rsid w:val="00FC693F"/>
    <w:pPr>
      <w:spacing w:line="240" w:lineRule="auto"/>
    </w:pPr>
    <w:rPr>
      <w:b/>
      <w:bCs/>
      <w:sz w:val="18"/>
      <w:szCs w:val="18"/>
    </w:rPr>
  </w:style>
  <w:style w:type="character" w:styleId="af8">
    <w:name w:val="Strong"/>
    <w:basedOn w:val="a2"/>
    <w:uiPriority w:val="22"/>
    <w:qFormat/>
    <w:rsid w:val="00FC693F"/>
    <w:rPr>
      <w:rFonts w:ascii="黑体" w:eastAsia="黑体" w:hAnsi="黑体" w:cs="黑体" w:hint="eastAsia"/>
      <w:b/>
      <w:bCs/>
      <w:i w:val="0"/>
      <w:color w:val="000000"/>
      <w:lang w:val="zh-CN" w:eastAsia="zh-CN"/>
    </w:rPr>
  </w:style>
  <w:style w:type="character" w:styleId="af9">
    <w:name w:val="Emphasis"/>
    <w:basedOn w:val="a2"/>
    <w:uiPriority w:val="20"/>
    <w:qFormat/>
    <w:rsid w:val="00FC693F"/>
    <w:rPr>
      <w:rFonts w:ascii="宋体" w:eastAsia="宋体" w:hAnsi="宋体" w:cs="宋体" w:hint="eastAsia"/>
      <w:i w:val="0"/>
      <w:iCs/>
      <w:color w:val="000000"/>
      <w:lang w:val="zh-CN" w:eastAsia="zh-CN"/>
    </w:rPr>
  </w:style>
  <w:style w:type="paragraph" w:styleId="afa">
    <w:name w:val="Intense Quote"/>
    <w:basedOn w:val="a1"/>
    <w:next w:val="a1"/>
    <w:link w:val="afb"/>
    <w:uiPriority w:val="30"/>
    <w:qFormat/>
    <w:rsid w:val="00FC693F"/>
    <w:pPr>
      <w:spacing w:before="200" w:after="280"/>
      <w:ind w:left="936" w:right="936"/>
    </w:pPr>
    <w:rPr>
      <w:b/>
      <w:bCs/>
      <w:iCs/>
    </w:rPr>
  </w:style>
  <w:style w:type="character" w:customStyle="1" w:styleId="afb">
    <w:name w:val="明显引用 字符"/>
    <w:basedOn w:val="a2"/>
    <w:link w:val="afa"/>
    <w:uiPriority w:val="30"/>
    <w:rsid w:val="00FC693F"/>
    <w:rPr>
      <w:rFonts w:ascii="黑体" w:eastAsia="黑体" w:hAnsi="黑体" w:cs="黑体" w:hint="eastAsia"/>
      <w:b/>
      <w:bCs/>
      <w:i w:val="0"/>
      <w:iCs/>
      <w:color w:val="000000"/>
      <w:lang w:val="zh-CN" w:eastAsia="zh-CN"/>
    </w:rPr>
  </w:style>
  <w:style w:type="character" w:styleId="afc">
    <w:name w:val="Subtle Emphasis"/>
    <w:basedOn w:val="a2"/>
    <w:uiPriority w:val="19"/>
    <w:qFormat/>
    <w:rsid w:val="00FC693F"/>
    <w:rPr>
      <w:rFonts w:ascii="宋体" w:eastAsia="宋体" w:hAnsi="宋体" w:cs="宋体" w:hint="eastAsia"/>
      <w:i w:val="0"/>
      <w:iCs/>
      <w:color w:val="000000"/>
      <w:lang w:val="zh-CN" w:eastAsia="zh-CN"/>
    </w:rPr>
  </w:style>
  <w:style w:type="character" w:styleId="afd">
    <w:name w:val="Intense Emphasis"/>
    <w:basedOn w:val="a2"/>
    <w:uiPriority w:val="21"/>
    <w:qFormat/>
    <w:rsid w:val="00FC693F"/>
    <w:rPr>
      <w:rFonts w:ascii="黑体" w:eastAsia="黑体" w:hAnsi="黑体" w:cs="黑体" w:hint="eastAsia"/>
      <w:b/>
      <w:bCs/>
      <w:i w:val="0"/>
      <w:iCs/>
      <w:color w:val="000000"/>
      <w:lang w:val="zh-CN" w:eastAsia="zh-CN"/>
    </w:rPr>
  </w:style>
  <w:style w:type="character" w:styleId="afe">
    <w:name w:val="Subtle Reference"/>
    <w:basedOn w:val="a2"/>
    <w:uiPriority w:val="31"/>
    <w:qFormat/>
    <w:rsid w:val="00FC693F"/>
    <w:rPr>
      <w:rFonts w:ascii="宋体" w:eastAsia="宋体" w:hAnsi="宋体" w:cs="宋体" w:hint="eastAsia"/>
      <w:i w:val="0"/>
      <w:smallCaps/>
      <w:color w:val="000000"/>
      <w:u w:val="single"/>
      <w:lang w:val="zh-CN" w:eastAsia="zh-CN"/>
    </w:rPr>
  </w:style>
  <w:style w:type="character" w:styleId="aff">
    <w:name w:val="Intense Reference"/>
    <w:basedOn w:val="a2"/>
    <w:uiPriority w:val="32"/>
    <w:qFormat/>
    <w:rsid w:val="00FC693F"/>
    <w:rPr>
      <w:rFonts w:ascii="黑体" w:eastAsia="黑体" w:hAnsi="黑体" w:cs="黑体" w:hint="eastAsia"/>
      <w:b/>
      <w:bCs/>
      <w:i w:val="0"/>
      <w:smallCaps/>
      <w:color w:val="000000"/>
      <w:u w:val="single"/>
      <w:lang w:val="zh-CN" w:eastAsia="zh-CN"/>
    </w:rPr>
  </w:style>
  <w:style w:type="character" w:styleId="aff0">
    <w:name w:val="Book Title"/>
    <w:basedOn w:val="a2"/>
    <w:uiPriority w:val="33"/>
    <w:qFormat/>
    <w:rsid w:val="00FC693F"/>
    <w:rPr>
      <w:rFonts w:ascii="黑体" w:eastAsia="黑体" w:hAnsi="黑体" w:cs="黑体" w:hint="eastAsia"/>
      <w:b/>
      <w:bCs/>
      <w:i w:val="0"/>
      <w:smallCaps/>
      <w:color w:val="000000"/>
      <w:lang w:val="zh-CN" w:eastAsia="zh-CN"/>
    </w:rPr>
  </w:style>
  <w:style w:type="paragraph" w:styleId="TOC">
    <w:name w:val="TOC Heading"/>
    <w:basedOn w:val="1"/>
    <w:next w:val="a1"/>
    <w:uiPriority w:val="39"/>
    <w:semiHidden/>
    <w:unhideWhenUsed/>
    <w:qFormat/>
    <w:rsid w:val="00FC693F"/>
    <w:pPr>
      <w:outlineLvl w:val="9"/>
    </w:pPr>
    <w:rPr>
      <w:rFonts w:ascii="宋体" w:eastAsia="宋体" w:hAnsi="宋体" w:cs="宋体"/>
    </w:rPr>
  </w:style>
  <w:style w:type="table" w:styleId="aff1">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2">
    <w:name w:val="Light Shading"/>
    <w:basedOn w:val="a3"/>
    <w:uiPriority w:val="60"/>
    <w:rsid w:val="00FC693F"/>
    <w:pPr>
      <w:spacing w:after="0" w:line="240" w:lineRule="auto"/>
    </w:p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1">
    <w:name w:val="Light Shading Accent 1"/>
    <w:basedOn w:val="a3"/>
    <w:uiPriority w:val="60"/>
    <w:rsid w:val="00FC693F"/>
    <w:pPr>
      <w:spacing w:after="0" w:line="240" w:lineRule="auto"/>
    </w:p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2">
    <w:name w:val="Light Shading Accent 2"/>
    <w:basedOn w:val="a3"/>
    <w:uiPriority w:val="60"/>
    <w:rsid w:val="00FC693F"/>
    <w:pPr>
      <w:spacing w:after="0" w:line="240" w:lineRule="auto"/>
    </w:p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3">
    <w:name w:val="Light Shading Accent 3"/>
    <w:basedOn w:val="a3"/>
    <w:uiPriority w:val="60"/>
    <w:rsid w:val="00FC693F"/>
    <w:pPr>
      <w:spacing w:after="0" w:line="240" w:lineRule="auto"/>
    </w:p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4">
    <w:name w:val="Light Shading Accent 4"/>
    <w:basedOn w:val="a3"/>
    <w:uiPriority w:val="60"/>
    <w:rsid w:val="00FC693F"/>
    <w:pPr>
      <w:spacing w:after="0" w:line="240" w:lineRule="auto"/>
    </w:p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5">
    <w:name w:val="Light Shading Accent 5"/>
    <w:basedOn w:val="a3"/>
    <w:uiPriority w:val="60"/>
    <w:rsid w:val="00FC693F"/>
    <w:pPr>
      <w:spacing w:after="0" w:line="240" w:lineRule="auto"/>
    </w:p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6">
    <w:name w:val="Light Shading Accent 6"/>
    <w:basedOn w:val="a3"/>
    <w:uiPriority w:val="60"/>
    <w:rsid w:val="00FC693F"/>
    <w:pPr>
      <w:spacing w:after="0" w:line="240" w:lineRule="auto"/>
    </w:p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aff3">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4">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黑体" w:eastAsia="黑体" w:hAnsi="黑体" w:cs="黑体" w:hint="eastAsia"/>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黑体" w:eastAsia="黑体" w:hAnsi="黑体" w:cs="黑体" w:hint="eastAsia"/>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黑体" w:eastAsia="黑体" w:hAnsi="黑体" w:cs="黑体" w:hint="eastAsia"/>
        <w:b/>
        <w:bCs/>
      </w:rPr>
    </w:tblStylePr>
    <w:tblStylePr w:type="lastCol">
      <w:rPr>
        <w:rFonts w:ascii="黑体" w:eastAsia="黑体" w:hAnsi="黑体" w:cs="黑体" w:hint="eastAsia"/>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黑体" w:eastAsia="黑体" w:hAnsi="黑体" w:cs="黑体" w:hint="eastAsia"/>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黑体" w:eastAsia="黑体" w:hAnsi="黑体" w:cs="黑体" w:hint="eastAsia"/>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黑体" w:eastAsia="黑体" w:hAnsi="黑体" w:cs="黑体" w:hint="eastAsia"/>
        <w:b/>
        <w:bCs/>
      </w:rPr>
    </w:tblStylePr>
    <w:tblStylePr w:type="lastCol">
      <w:rPr>
        <w:rFonts w:ascii="黑体" w:eastAsia="黑体" w:hAnsi="黑体" w:cs="黑体" w:hint="eastAsia"/>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黑体" w:eastAsia="黑体" w:hAnsi="黑体" w:cs="黑体" w:hint="eastAsia"/>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黑体" w:eastAsia="黑体" w:hAnsi="黑体" w:cs="黑体" w:hint="eastAsia"/>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黑体" w:eastAsia="黑体" w:hAnsi="黑体" w:cs="黑体" w:hint="eastAsia"/>
        <w:b/>
        <w:bCs/>
      </w:rPr>
    </w:tblStylePr>
    <w:tblStylePr w:type="lastCol">
      <w:rPr>
        <w:rFonts w:ascii="黑体" w:eastAsia="黑体" w:hAnsi="黑体" w:cs="黑体" w:hint="eastAsia"/>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黑体" w:eastAsia="黑体" w:hAnsi="黑体" w:cs="黑体" w:hint="eastAsia"/>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黑体" w:eastAsia="黑体" w:hAnsi="黑体" w:cs="黑体" w:hint="eastAsia"/>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黑体" w:eastAsia="黑体" w:hAnsi="黑体" w:cs="黑体" w:hint="eastAsia"/>
        <w:b/>
        <w:bCs/>
      </w:rPr>
    </w:tblStylePr>
    <w:tblStylePr w:type="lastCol">
      <w:rPr>
        <w:rFonts w:ascii="黑体" w:eastAsia="黑体" w:hAnsi="黑体" w:cs="黑体" w:hint="eastAsia"/>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黑体" w:eastAsia="黑体" w:hAnsi="黑体" w:cs="黑体" w:hint="eastAsia"/>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黑体" w:eastAsia="黑体" w:hAnsi="黑体" w:cs="黑体" w:hint="eastAsia"/>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黑体" w:eastAsia="黑体" w:hAnsi="黑体" w:cs="黑体" w:hint="eastAsia"/>
        <w:b/>
        <w:bCs/>
      </w:rPr>
    </w:tblStylePr>
    <w:tblStylePr w:type="lastCol">
      <w:rPr>
        <w:rFonts w:ascii="黑体" w:eastAsia="黑体" w:hAnsi="黑体" w:cs="黑体" w:hint="eastAsia"/>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黑体" w:eastAsia="黑体" w:hAnsi="黑体" w:cs="黑体" w:hint="eastAsia"/>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黑体" w:eastAsia="黑体" w:hAnsi="黑体" w:cs="黑体" w:hint="eastAsia"/>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黑体" w:eastAsia="黑体" w:hAnsi="黑体" w:cs="黑体" w:hint="eastAsia"/>
        <w:b/>
        <w:bCs/>
      </w:rPr>
    </w:tblStylePr>
    <w:tblStylePr w:type="lastCol">
      <w:rPr>
        <w:rFonts w:ascii="黑体" w:eastAsia="黑体" w:hAnsi="黑体" w:cs="黑体" w:hint="eastAsia"/>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黑体" w:eastAsia="黑体" w:hAnsi="黑体" w:cs="黑体" w:hint="eastAsia"/>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黑体" w:eastAsia="黑体" w:hAnsi="黑体" w:cs="黑体" w:hint="eastAsia"/>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黑体" w:eastAsia="黑体" w:hAnsi="黑体" w:cs="黑体" w:hint="eastAsia"/>
        <w:b/>
        <w:bCs/>
      </w:rPr>
    </w:tblStylePr>
    <w:tblStylePr w:type="lastCol">
      <w:rPr>
        <w:rFonts w:ascii="黑体" w:eastAsia="黑体" w:hAnsi="黑体" w:cs="黑体" w:hint="eastAsia"/>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tblPr>
      <w:tblStyleRowBandSize w:val="1"/>
      <w:tblStyleColBandSize w:val="1"/>
      <w:tblBorders>
        <w:top w:val="single" w:sz="8" w:space="0" w:color="000000" w:themeColor="text1"/>
        <w:bottom w:val="single" w:sz="8" w:space="0" w:color="000000" w:themeColor="text1"/>
      </w:tblBorders>
    </w:tblPr>
    <w:tblStylePr w:type="firstRow">
      <w:rPr>
        <w:rFonts w:ascii="宋体" w:eastAsia="宋体" w:hAnsi="宋体" w:cs="宋体" w:hint="eastAsia"/>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style>
  <w:style w:type="table" w:styleId="1-10">
    <w:name w:val="Medium List 1 Accent 1"/>
    <w:basedOn w:val="a3"/>
    <w:uiPriority w:val="65"/>
    <w:rsid w:val="00CB0664"/>
    <w:pPr>
      <w:spacing w:after="0" w:line="240" w:lineRule="auto"/>
    </w:pPr>
    <w:tblPr>
      <w:tblStyleRowBandSize w:val="1"/>
      <w:tblStyleColBandSize w:val="1"/>
      <w:tblBorders>
        <w:top w:val="single" w:sz="8" w:space="0" w:color="4F81BD" w:themeColor="accent1"/>
        <w:bottom w:val="single" w:sz="8" w:space="0" w:color="4F81BD" w:themeColor="accent1"/>
      </w:tblBorders>
    </w:tblPr>
    <w:tblStylePr w:type="firstRow">
      <w:rPr>
        <w:rFonts w:ascii="宋体" w:eastAsia="宋体" w:hAnsi="宋体" w:cs="宋体" w:hint="eastAsia"/>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style>
  <w:style w:type="table" w:styleId="1-20">
    <w:name w:val="Medium List 1 Accent 2"/>
    <w:basedOn w:val="a3"/>
    <w:uiPriority w:val="65"/>
    <w:rsid w:val="00CB0664"/>
    <w:pPr>
      <w:spacing w:after="0" w:line="240" w:lineRule="auto"/>
    </w:pPr>
    <w:tblPr>
      <w:tblStyleRowBandSize w:val="1"/>
      <w:tblStyleColBandSize w:val="1"/>
      <w:tblBorders>
        <w:top w:val="single" w:sz="8" w:space="0" w:color="C0504D" w:themeColor="accent2"/>
        <w:bottom w:val="single" w:sz="8" w:space="0" w:color="C0504D" w:themeColor="accent2"/>
      </w:tblBorders>
    </w:tblPr>
    <w:tblStylePr w:type="firstRow">
      <w:rPr>
        <w:rFonts w:ascii="宋体" w:eastAsia="宋体" w:hAnsi="宋体" w:cs="宋体" w:hint="eastAsia"/>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style>
  <w:style w:type="table" w:styleId="1-30">
    <w:name w:val="Medium List 1 Accent 3"/>
    <w:basedOn w:val="a3"/>
    <w:uiPriority w:val="65"/>
    <w:rsid w:val="00CB0664"/>
    <w:pPr>
      <w:spacing w:after="0" w:line="240" w:lineRule="auto"/>
    </w:pPr>
    <w:tblPr>
      <w:tblStyleRowBandSize w:val="1"/>
      <w:tblStyleColBandSize w:val="1"/>
      <w:tblBorders>
        <w:top w:val="single" w:sz="8" w:space="0" w:color="9BBB59" w:themeColor="accent3"/>
        <w:bottom w:val="single" w:sz="8" w:space="0" w:color="9BBB59" w:themeColor="accent3"/>
      </w:tblBorders>
    </w:tblPr>
    <w:tblStylePr w:type="firstRow">
      <w:rPr>
        <w:rFonts w:ascii="宋体" w:eastAsia="宋体" w:hAnsi="宋体" w:cs="宋体" w:hint="eastAsia"/>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style>
  <w:style w:type="table" w:styleId="1-40">
    <w:name w:val="Medium List 1 Accent 4"/>
    <w:basedOn w:val="a3"/>
    <w:uiPriority w:val="65"/>
    <w:rsid w:val="00CB0664"/>
    <w:pPr>
      <w:spacing w:after="0" w:line="240" w:lineRule="auto"/>
    </w:pPr>
    <w:tblPr>
      <w:tblStyleRowBandSize w:val="1"/>
      <w:tblStyleColBandSize w:val="1"/>
      <w:tblBorders>
        <w:top w:val="single" w:sz="8" w:space="0" w:color="8064A2" w:themeColor="accent4"/>
        <w:bottom w:val="single" w:sz="8" w:space="0" w:color="8064A2" w:themeColor="accent4"/>
      </w:tblBorders>
    </w:tblPr>
    <w:tblStylePr w:type="firstRow">
      <w:rPr>
        <w:rFonts w:ascii="宋体" w:eastAsia="宋体" w:hAnsi="宋体" w:cs="宋体" w:hint="eastAsia"/>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style>
  <w:style w:type="table" w:styleId="1-50">
    <w:name w:val="Medium List 1 Accent 5"/>
    <w:basedOn w:val="a3"/>
    <w:uiPriority w:val="65"/>
    <w:rsid w:val="00CB0664"/>
    <w:pPr>
      <w:spacing w:after="0" w:line="240" w:lineRule="auto"/>
    </w:pPr>
    <w:tblPr>
      <w:tblStyleRowBandSize w:val="1"/>
      <w:tblStyleColBandSize w:val="1"/>
      <w:tblBorders>
        <w:top w:val="single" w:sz="8" w:space="0" w:color="4BACC6" w:themeColor="accent5"/>
        <w:bottom w:val="single" w:sz="8" w:space="0" w:color="4BACC6" w:themeColor="accent5"/>
      </w:tblBorders>
    </w:tblPr>
    <w:tblStylePr w:type="firstRow">
      <w:rPr>
        <w:rFonts w:ascii="宋体" w:eastAsia="宋体" w:hAnsi="宋体" w:cs="宋体" w:hint="eastAsia"/>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style>
  <w:style w:type="table" w:styleId="1-60">
    <w:name w:val="Medium List 1 Accent 6"/>
    <w:basedOn w:val="a3"/>
    <w:uiPriority w:val="65"/>
    <w:rsid w:val="00CB0664"/>
    <w:pPr>
      <w:spacing w:after="0" w:line="240" w:lineRule="auto"/>
    </w:pPr>
    <w:tblPr>
      <w:tblStyleRowBandSize w:val="1"/>
      <w:tblStyleColBandSize w:val="1"/>
      <w:tblBorders>
        <w:top w:val="single" w:sz="8" w:space="0" w:color="F79646" w:themeColor="accent6"/>
        <w:bottom w:val="single" w:sz="8" w:space="0" w:color="F79646" w:themeColor="accent6"/>
      </w:tblBorders>
    </w:tblPr>
    <w:tblStylePr w:type="firstRow">
      <w:rPr>
        <w:rFonts w:ascii="宋体" w:eastAsia="宋体" w:hAnsi="宋体" w:cs="宋体" w:hint="eastAsia"/>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style>
  <w:style w:type="table" w:styleId="28">
    <w:name w:val="Medium List 2"/>
    <w:basedOn w:val="a3"/>
    <w:uiPriority w:val="66"/>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tcPr>
    </w:tblStylePr>
    <w:tblStylePr w:type="lastRow">
      <w:tblPr/>
      <w:tcPr>
        <w:tcBorders>
          <w:top w:val="single" w:sz="8" w:space="0" w:color="000000" w:themeColor="text1"/>
          <w:left w:val="nil"/>
          <w:bottom w:val="nil"/>
          <w:right w:val="nil"/>
          <w:insideH w:val="nil"/>
          <w:insideV w:val="nil"/>
        </w:tcBorders>
      </w:tcPr>
    </w:tblStylePr>
    <w:tblStylePr w:type="firstCol">
      <w:tblPr/>
      <w:tcPr>
        <w:tcBorders>
          <w:top w:val="nil"/>
          <w:left w:val="nil"/>
          <w:bottom w:val="nil"/>
          <w:right w:val="single" w:sz="8" w:space="0" w:color="000000" w:themeColor="text1"/>
          <w:insideH w:val="nil"/>
          <w:insideV w:val="nil"/>
        </w:tcBorders>
      </w:tcPr>
    </w:tblStylePr>
    <w:tblStylePr w:type="lastCol">
      <w:tblPr/>
      <w:tcPr>
        <w:tcBorders>
          <w:top w:val="nil"/>
          <w:left w:val="single" w:sz="8" w:space="0" w:color="000000" w:themeColor="text1"/>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tcPr>
    </w:tblStylePr>
    <w:tblStylePr w:type="lastRow">
      <w:tblPr/>
      <w:tcPr>
        <w:tcBorders>
          <w:top w:val="single" w:sz="8" w:space="0" w:color="4F81BD" w:themeColor="accent1"/>
          <w:left w:val="nil"/>
          <w:bottom w:val="nil"/>
          <w:right w:val="nil"/>
          <w:insideH w:val="nil"/>
          <w:insideV w:val="nil"/>
        </w:tcBorders>
      </w:tcPr>
    </w:tblStylePr>
    <w:tblStylePr w:type="firstCol">
      <w:tblPr/>
      <w:tcPr>
        <w:tcBorders>
          <w:top w:val="nil"/>
          <w:left w:val="nil"/>
          <w:bottom w:val="nil"/>
          <w:right w:val="single" w:sz="8" w:space="0" w:color="4F81BD" w:themeColor="accent1"/>
          <w:insideH w:val="nil"/>
          <w:insideV w:val="nil"/>
        </w:tcBorders>
      </w:tcPr>
    </w:tblStylePr>
    <w:tblStylePr w:type="lastCol">
      <w:tblPr/>
      <w:tcPr>
        <w:tcBorders>
          <w:top w:val="nil"/>
          <w:left w:val="single" w:sz="8" w:space="0" w:color="4F81BD" w:themeColor="accent1"/>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tcPr>
    </w:tblStylePr>
    <w:tblStylePr w:type="lastRow">
      <w:tblPr/>
      <w:tcPr>
        <w:tcBorders>
          <w:top w:val="single" w:sz="8" w:space="0" w:color="C0504D" w:themeColor="accent2"/>
          <w:left w:val="nil"/>
          <w:bottom w:val="nil"/>
          <w:right w:val="nil"/>
          <w:insideH w:val="nil"/>
          <w:insideV w:val="nil"/>
        </w:tcBorders>
      </w:tcPr>
    </w:tblStylePr>
    <w:tblStylePr w:type="firstCol">
      <w:tblPr/>
      <w:tcPr>
        <w:tcBorders>
          <w:top w:val="nil"/>
          <w:left w:val="nil"/>
          <w:bottom w:val="nil"/>
          <w:right w:val="single" w:sz="8" w:space="0" w:color="C0504D" w:themeColor="accent2"/>
          <w:insideH w:val="nil"/>
          <w:insideV w:val="nil"/>
        </w:tcBorders>
      </w:tcPr>
    </w:tblStylePr>
    <w:tblStylePr w:type="lastCol">
      <w:tblPr/>
      <w:tcPr>
        <w:tcBorders>
          <w:top w:val="nil"/>
          <w:left w:val="single" w:sz="8" w:space="0" w:color="C0504D" w:themeColor="accent2"/>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tcPr>
    </w:tblStylePr>
    <w:tblStylePr w:type="lastRow">
      <w:tblPr/>
      <w:tcPr>
        <w:tcBorders>
          <w:top w:val="single" w:sz="8" w:space="0" w:color="9BBB59" w:themeColor="accent3"/>
          <w:left w:val="nil"/>
          <w:bottom w:val="nil"/>
          <w:right w:val="nil"/>
          <w:insideH w:val="nil"/>
          <w:insideV w:val="nil"/>
        </w:tcBorders>
      </w:tcPr>
    </w:tblStylePr>
    <w:tblStylePr w:type="firstCol">
      <w:tblPr/>
      <w:tcPr>
        <w:tcBorders>
          <w:top w:val="nil"/>
          <w:left w:val="nil"/>
          <w:bottom w:val="nil"/>
          <w:right w:val="single" w:sz="8" w:space="0" w:color="9BBB59" w:themeColor="accent3"/>
          <w:insideH w:val="nil"/>
          <w:insideV w:val="nil"/>
        </w:tcBorders>
      </w:tcPr>
    </w:tblStylePr>
    <w:tblStylePr w:type="lastCol">
      <w:tblPr/>
      <w:tcPr>
        <w:tcBorders>
          <w:top w:val="nil"/>
          <w:left w:val="single" w:sz="8" w:space="0" w:color="9BBB59" w:themeColor="accent3"/>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tcPr>
    </w:tblStylePr>
    <w:tblStylePr w:type="lastRow">
      <w:tblPr/>
      <w:tcPr>
        <w:tcBorders>
          <w:top w:val="single" w:sz="8" w:space="0" w:color="8064A2" w:themeColor="accent4"/>
          <w:left w:val="nil"/>
          <w:bottom w:val="nil"/>
          <w:right w:val="nil"/>
          <w:insideH w:val="nil"/>
          <w:insideV w:val="nil"/>
        </w:tcBorders>
      </w:tcPr>
    </w:tblStylePr>
    <w:tblStylePr w:type="firstCol">
      <w:tblPr/>
      <w:tcPr>
        <w:tcBorders>
          <w:top w:val="nil"/>
          <w:left w:val="nil"/>
          <w:bottom w:val="nil"/>
          <w:right w:val="single" w:sz="8" w:space="0" w:color="8064A2" w:themeColor="accent4"/>
          <w:insideH w:val="nil"/>
          <w:insideV w:val="nil"/>
        </w:tcBorders>
      </w:tcPr>
    </w:tblStylePr>
    <w:tblStylePr w:type="lastCol">
      <w:tblPr/>
      <w:tcPr>
        <w:tcBorders>
          <w:top w:val="nil"/>
          <w:left w:val="single" w:sz="8" w:space="0" w:color="8064A2" w:themeColor="accent4"/>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tcPr>
    </w:tblStylePr>
    <w:tblStylePr w:type="lastRow">
      <w:tblPr/>
      <w:tcPr>
        <w:tcBorders>
          <w:top w:val="single" w:sz="8" w:space="0" w:color="4BACC6" w:themeColor="accent5"/>
          <w:left w:val="nil"/>
          <w:bottom w:val="nil"/>
          <w:right w:val="nil"/>
          <w:insideH w:val="nil"/>
          <w:insideV w:val="nil"/>
        </w:tcBorders>
      </w:tcPr>
    </w:tblStylePr>
    <w:tblStylePr w:type="firstCol">
      <w:tblPr/>
      <w:tcPr>
        <w:tcBorders>
          <w:top w:val="nil"/>
          <w:left w:val="nil"/>
          <w:bottom w:val="nil"/>
          <w:right w:val="single" w:sz="8" w:space="0" w:color="4BACC6" w:themeColor="accent5"/>
          <w:insideH w:val="nil"/>
          <w:insideV w:val="nil"/>
        </w:tcBorders>
      </w:tcPr>
    </w:tblStylePr>
    <w:tblStylePr w:type="lastCol">
      <w:tblPr/>
      <w:tcPr>
        <w:tcBorders>
          <w:top w:val="nil"/>
          <w:left w:val="single" w:sz="8" w:space="0" w:color="4BACC6" w:themeColor="accent5"/>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tcPr>
    </w:tblStylePr>
    <w:tblStylePr w:type="lastRow">
      <w:tblPr/>
      <w:tcPr>
        <w:tcBorders>
          <w:top w:val="single" w:sz="8" w:space="0" w:color="F79646" w:themeColor="accent6"/>
          <w:left w:val="nil"/>
          <w:bottom w:val="nil"/>
          <w:right w:val="nil"/>
          <w:insideH w:val="nil"/>
          <w:insideV w:val="nil"/>
        </w:tcBorders>
      </w:tcPr>
    </w:tblStylePr>
    <w:tblStylePr w:type="firstCol">
      <w:tblPr/>
      <w:tcPr>
        <w:tcBorders>
          <w:top w:val="nil"/>
          <w:left w:val="nil"/>
          <w:bottom w:val="nil"/>
          <w:right w:val="single" w:sz="8" w:space="0" w:color="F79646" w:themeColor="accent6"/>
          <w:insideH w:val="nil"/>
          <w:insideV w:val="nil"/>
        </w:tcBorders>
      </w:tcPr>
    </w:tblStylePr>
    <w:tblStylePr w:type="lastCol">
      <w:tblPr/>
      <w:tcPr>
        <w:tcBorders>
          <w:top w:val="nil"/>
          <w:left w:val="single" w:sz="8" w:space="0" w:color="F79646" w:themeColor="accent6"/>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style>
  <w:style w:type="table" w:styleId="29">
    <w:name w:val="Medium Grid 2"/>
    <w:basedOn w:val="a3"/>
    <w:uiPriority w:val="68"/>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000000" w:themeColor="text1"/>
          <w:insideV w:val="single" w:sz="6" w:space="0" w:color="000000" w:themeColor="text1"/>
        </w:tcBorders>
      </w:tcPr>
    </w:tblStylePr>
  </w:style>
  <w:style w:type="table" w:styleId="2-11">
    <w:name w:val="Medium Grid 2 Accent 1"/>
    <w:basedOn w:val="a3"/>
    <w:uiPriority w:val="68"/>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4F81BD" w:themeColor="accent1"/>
          <w:insideV w:val="single" w:sz="6" w:space="0" w:color="4F81BD" w:themeColor="accent1"/>
        </w:tcBorders>
      </w:tcPr>
    </w:tblStylePr>
  </w:style>
  <w:style w:type="table" w:styleId="2-21">
    <w:name w:val="Medium Grid 2 Accent 2"/>
    <w:basedOn w:val="a3"/>
    <w:uiPriority w:val="68"/>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C0504D" w:themeColor="accent2"/>
          <w:insideV w:val="single" w:sz="6" w:space="0" w:color="C0504D" w:themeColor="accent2"/>
        </w:tcBorders>
      </w:tcPr>
    </w:tblStylePr>
  </w:style>
  <w:style w:type="table" w:styleId="2-31">
    <w:name w:val="Medium Grid 2 Accent 3"/>
    <w:basedOn w:val="a3"/>
    <w:uiPriority w:val="68"/>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9BBB59" w:themeColor="accent3"/>
          <w:insideV w:val="single" w:sz="6" w:space="0" w:color="9BBB59" w:themeColor="accent3"/>
        </w:tcBorders>
      </w:tcPr>
    </w:tblStylePr>
  </w:style>
  <w:style w:type="table" w:styleId="2-41">
    <w:name w:val="Medium Grid 2 Accent 4"/>
    <w:basedOn w:val="a3"/>
    <w:uiPriority w:val="68"/>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8064A2" w:themeColor="accent4"/>
          <w:insideV w:val="single" w:sz="6" w:space="0" w:color="8064A2" w:themeColor="accent4"/>
        </w:tcBorders>
      </w:tcPr>
    </w:tblStylePr>
  </w:style>
  <w:style w:type="table" w:styleId="2-51">
    <w:name w:val="Medium Grid 2 Accent 5"/>
    <w:basedOn w:val="a3"/>
    <w:uiPriority w:val="68"/>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4BACC6" w:themeColor="accent5"/>
          <w:insideV w:val="single" w:sz="6" w:space="0" w:color="4BACC6" w:themeColor="accent5"/>
        </w:tcBorders>
      </w:tcPr>
    </w:tblStylePr>
  </w:style>
  <w:style w:type="table" w:styleId="2-61">
    <w:name w:val="Medium Grid 2 Accent 6"/>
    <w:basedOn w:val="a3"/>
    <w:uiPriority w:val="68"/>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F79646" w:themeColor="accent6"/>
          <w:insideV w:val="single" w:sz="6" w:space="0" w:color="F79646" w:themeColor="accent6"/>
        </w:tcBorders>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aff5">
    <w:name w:val="Dark List"/>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12">
    <w:name w:val="Dark List Accent 1"/>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22">
    <w:name w:val="Dark List Accent 2"/>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32">
    <w:name w:val="Dark List Accent 3"/>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42">
    <w:name w:val="Dark List Accent 4"/>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52">
    <w:name w:val="Dark List Accent 5"/>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62">
    <w:name w:val="Dark List Accent 6"/>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aff6">
    <w:name w:val="Colorful Shading"/>
    <w:basedOn w:val="a3"/>
    <w:uiPriority w:val="71"/>
    <w:rsid w:val="00CB0664"/>
    <w:pPr>
      <w:spacing w:after="0" w:line="240" w:lineRule="auto"/>
    </w:p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C0504D" w:themeColor="accent2"/>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C0504D" w:themeColor="accent2"/>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C0504D" w:themeColor="accent2"/>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8064A2" w:themeColor="accent4"/>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style>
  <w:style w:type="table" w:styleId="-43">
    <w:name w:val="Colorful Shading Accent 4"/>
    <w:basedOn w:val="a3"/>
    <w:uiPriority w:val="71"/>
    <w:rsid w:val="00CB0664"/>
    <w:pPr>
      <w:spacing w:after="0" w:line="240" w:lineRule="auto"/>
    </w:p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9BBB59" w:themeColor="accent3"/>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F79646" w:themeColor="accent6"/>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4BACC6" w:themeColor="accent5"/>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tblStylePr w:type="neCell">
      <w:rPr>
        <w:color w:val="000000" w:themeColor="text1"/>
      </w:rPr>
    </w:tblStylePr>
    <w:tblStylePr w:type="nwCell">
      <w:rPr>
        <w:color w:val="000000" w:themeColor="text1"/>
      </w:rPr>
    </w:tblStylePr>
  </w:style>
  <w:style w:type="table" w:styleId="aff7">
    <w:name w:val="Colorful List"/>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9E3A38" w:themeColor="accent2"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14">
    <w:name w:val="Colorful List Accent 1"/>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9E3A38" w:themeColor="accent2"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24">
    <w:name w:val="Colorful List Accent 2"/>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9E3A38" w:themeColor="accent2"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34">
    <w:name w:val="Colorful List Accent 3"/>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664E82" w:themeColor="accent4"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44">
    <w:name w:val="Colorful List Accent 4"/>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7E9C40" w:themeColor="accent3"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54">
    <w:name w:val="Colorful List Accent 5"/>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F2730A" w:themeColor="accent6"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64">
    <w:name w:val="Colorful List Accent 6"/>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348DA5" w:themeColor="accent5"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aff8">
    <w:name w:val="Colorful Grid"/>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15">
    <w:name w:val="Colorful Grid Accent 1"/>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25">
    <w:name w:val="Colorful Grid Accent 2"/>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35">
    <w:name w:val="Colorful Grid Accent 3"/>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45">
    <w:name w:val="Colorful Grid Accent 4"/>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55">
    <w:name w:val="Colorful Grid Accent 5"/>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65">
    <w:name w:val="Colorful Grid Accent 6"/>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26"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25" Type="http://schemas.openxmlformats.org/officeDocument/2006/relationships/header" Target="header1.xml"/><Relationship Id="rId2" Type="http://schemas.openxmlformats.org/officeDocument/2006/relationships/numbering" Target="numbering.xm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32" Type="http://schemas.openxmlformats.org/officeDocument/2006/relationships/theme" Target="theme/theme1.xml"/><Relationship Id="rId5" Type="http://schemas.openxmlformats.org/officeDocument/2006/relationships/webSettings" Target="webSettings.xml"/><Relationship Id="rId28" Type="http://schemas.openxmlformats.org/officeDocument/2006/relationships/footer" Target="footer2.xml"/><Relationship Id="rId31" Type="http://schemas.openxmlformats.org/officeDocument/2006/relationships/fontTable" Target="fontTable.xml"/><Relationship Id="rId4" Type="http://schemas.openxmlformats.org/officeDocument/2006/relationships/settings" Target="settings.xml"/><Relationship Id="rId27" Type="http://schemas.openxmlformats.org/officeDocument/2006/relationships/footer" Target="footer1.xml"/><Relationship Id="rId30" Type="http://schemas.openxmlformats.org/officeDocument/2006/relationships/footer" Target="footer3.xml"/><Relationship Id="rIdNewsletterSource1" Type="http://schemas.openxmlformats.org/officeDocument/2006/relationships/hyperlink" Target="https://www.nhc.gov.cn/sps/c100088/202609/4f357dbdd51748fea20ce817d0466c40.shtml" TargetMode="External"/><Relationship Id="rIdNewsletterSource2" Type="http://schemas.openxmlformats.org/officeDocument/2006/relationships/hyperlink" Target="https://webgate.ec.europa.eu/rasff-window/screen/notification/873426" TargetMode="External"/><Relationship Id="rIdNewsletterSource3" Type="http://schemas.openxmlformats.org/officeDocument/2006/relationships/hyperlink" Target="https://webgate.ec.europa.eu/rasff-window/screen/notification/874313" TargetMode="External"/><Relationship Id="rIdNewsletterSource4" Type="http://schemas.openxmlformats.org/officeDocument/2006/relationships/hyperlink" Target="https://webgate.ec.europa.eu/rasff-window/screen/notification/874506" TargetMode="External"/><Relationship Id="rIdNewsletterSource5" Type="http://schemas.openxmlformats.org/officeDocument/2006/relationships/hyperlink" Target="https://www.zjamp.com/index/news/info.html?newsid=9508" TargetMode="External"/><Relationship Id="rIdNewsletterSource6" Type="http://schemas.openxmlformats.org/officeDocument/2006/relationships/hyperlink" Target="https://amr.ahsz.gov.cn/xwdt/jcdt/19654145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黑体"/>
        <a:ea typeface="黑体"/>
        <a:cs typeface="黑体"/>
        <a:font script="Jpan" typeface="黑体"/>
        <a:font script="Hang" typeface="黑体"/>
        <a:font script="Hans" typeface="黑体"/>
        <a:font script="Hant" typeface="黑体"/>
        <a:font script="Arab" typeface="黑体"/>
        <a:font script="Hebr" typeface="黑体"/>
        <a:font script="Thai" typeface="黑体"/>
        <a:font script="Ethi" typeface="黑体"/>
        <a:font script="Beng" typeface="黑体"/>
        <a:font script="Gujr" typeface="黑体"/>
        <a:font script="Khmr" typeface="黑体"/>
        <a:font script="Knda" typeface="黑体"/>
        <a:font script="Guru" typeface="黑体"/>
        <a:font script="Cans" typeface="黑体"/>
        <a:font script="Cher" typeface="黑体"/>
        <a:font script="Yiii" typeface="黑体"/>
        <a:font script="Tibt" typeface="黑体"/>
        <a:font script="Thaa" typeface="黑体"/>
        <a:font script="Deva" typeface="黑体"/>
        <a:font script="Telu" typeface="黑体"/>
        <a:font script="Taml" typeface="黑体"/>
        <a:font script="Syrc" typeface="黑体"/>
        <a:font script="Orya" typeface="黑体"/>
        <a:font script="Mlym" typeface="黑体"/>
        <a:font script="Laoo" typeface="黑体"/>
        <a:font script="Sinh" typeface="黑体"/>
        <a:font script="Mong" typeface="黑体"/>
        <a:font script="Viet" typeface="黑体"/>
        <a:font script="Uigh" typeface="黑体"/>
        <a:font script="Geor" typeface="黑体"/>
      </a:majorFont>
      <a:minorFont>
        <a:latin typeface="宋体"/>
        <a:ea typeface="宋体"/>
        <a:cs typeface="宋体"/>
        <a:font script="Jpan" typeface="宋体"/>
        <a:font script="Hang" typeface="宋体"/>
        <a:font script="Hans" typeface="宋体"/>
        <a:font script="Hant" typeface="宋体"/>
        <a:font script="Arab" typeface="宋体"/>
        <a:font script="Hebr" typeface="宋体"/>
        <a:font script="Thai" typeface="宋体"/>
        <a:font script="Ethi" typeface="宋体"/>
        <a:font script="Beng" typeface="宋体"/>
        <a:font script="Gujr" typeface="宋体"/>
        <a:font script="Khmr" typeface="宋体"/>
        <a:font script="Knda" typeface="宋体"/>
        <a:font script="Guru" typeface="宋体"/>
        <a:font script="Cans" typeface="宋体"/>
        <a:font script="Cher" typeface="宋体"/>
        <a:font script="Yiii" typeface="宋体"/>
        <a:font script="Tibt" typeface="宋体"/>
        <a:font script="Thaa" typeface="宋体"/>
        <a:font script="Deva" typeface="宋体"/>
        <a:font script="Telu" typeface="宋体"/>
        <a:font script="Taml" typeface="宋体"/>
        <a:font script="Syrc" typeface="宋体"/>
        <a:font script="Orya" typeface="宋体"/>
        <a:font script="Mlym" typeface="宋体"/>
        <a:font script="Laoo" typeface="宋体"/>
        <a:font script="Sinh" typeface="宋体"/>
        <a:font script="Mong" typeface="宋体"/>
        <a:font script="Viet" typeface="宋体"/>
        <a:font script="Uigh" typeface="宋体"/>
        <a:font script="Geor" typeface="宋体"/>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683</Words>
  <Characters>3895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4569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食品接触材料行业资讯周报（内部测试版）</dc:title>
  <dc:subject>2026年9月18日16:30至9月25日16:30（北京时间）</dc:subject>
  <dc:creator/>
  <cp:keywords/>
  <dc:description/>
  <cp:lastModifiedBy/>
  <cp:revision>1</cp:revision>
  <dcterms:created xsi:type="dcterms:W3CDTF">2026-10-04T08:18:15Z</dcterms:created>
  <dcterms:modified xsi:type="dcterms:W3CDTF">2026-10-04T08:18:15Z</dcterms:modified>
  <cp:category/>
</cp:coreProperties>
</file>