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ECEE1" w14:textId="77777777" w:rsidR="00741353" w:rsidRDefault="00AF0D74">
      <w:pPr>
        <w:pStyle w:val="aa"/>
        <w:spacing w:after="140" w:line="640" w:lineRule="exact"/>
        <w:wordWrap w:val="0"/>
      </w:pPr>
      <w:r>
        <w:t>食品接触材料行业资讯周报（内部测试版）</w:t>
      </w:r>
    </w:p>
    <w:p w14:paraId="1DF36016" w14:textId="77777777" w:rsidR="00741353" w:rsidRDefault="00AF0D74">
      <w:pPr>
        <w:pStyle w:val="ac"/>
        <w:spacing w:after="160" w:line="320" w:lineRule="exact"/>
        <w:wordWrap w:val="0"/>
      </w:pPr>
      <w:r>
        <w:t xml:space="preserve">2026年10月9日16:30至10月16日16:30（北京时间）</w:t>
      </w:r>
    </w:p>
    <w:p w14:paraId="1CB9F75F" w14:textId="77777777" w:rsidR="00741353" w:rsidRDefault="00AF0D74">
      <w:pPr>
        <w:pStyle w:val="1"/>
        <w:spacing w:before="200" w:line="440" w:lineRule="exact"/>
      </w:pPr>
      <w:r>
        <w:t>本期要点速览</w:t>
      </w:r>
    </w:p>
    <w:tbl>
      <w:tblPr>
        <w:tblW w:w="9639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125" w:type="dxa"/>
          <w:left w:w="125" w:type="dxa"/>
          <w:bottom w:w="125" w:type="dxa"/>
          <w:right w:w="125" w:type="dxa"/>
        </w:tblCellMar>
        <w:tblLook w:val="04A0" w:firstRow="1" w:lastRow="0" w:firstColumn="1" w:lastColumn="0" w:noHBand="0" w:noVBand="1"/>
      </w:tblPr>
      <w:tblGrid>
        <w:gridCol w:w="2778"/>
        <w:gridCol w:w="6861"/>
      </w:tblGrid>
      <w:tr w:rsidR="00741353" w14:paraId="086449A1" w14:textId="77777777">
        <w:trPr>
          <w:cantSplit/>
          <w:tblHeader/>
        </w:trPr>
        <w:tc>
          <w:tcPr>
            <w:tcW w:w="2778" w:type="dxa"/>
            <w:shd w:val="clear" w:color="auto" w:fill="E8EEF3"/>
            <w:vAlign w:val="center"/>
          </w:tcPr>
          <w:p w14:paraId="2553C703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栏目</w:t>
            </w:r>
          </w:p>
        </w:tc>
        <w:tc>
          <w:tcPr>
            <w:tcW w:w="6860" w:type="dxa"/>
            <w:shd w:val="clear" w:color="auto" w:fill="E8EEF3"/>
            <w:vAlign w:val="center"/>
          </w:tcPr>
          <w:p w14:paraId="1A068D37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本期要点</w:t>
            </w:r>
          </w:p>
        </w:tc>
      </w:tr>
      <w:tr w:rsidR="00741353" w14:paraId="0DAE04B9" w14:textId="77777777">
        <w:trPr>
          <w:cantSplit/>
        </w:trPr>
        <w:tc>
          <w:tcPr>
            <w:tcW w:w="2778" w:type="dxa"/>
            <w:vAlign w:val="center"/>
          </w:tcPr>
          <w:p w14:paraId="0A696661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一、法规标准、授权与实施节点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 xml:space="preserve">本期暂无可刊发条目。</w:t>
            </w:r>
          </w:p>
        </w:tc>
      </w:tr>
      <w:tr w:rsidR="00741353" w14:paraId="3D7E9BE7" w14:textId="77777777">
        <w:trPr>
          <w:cantSplit/>
        </w:trPr>
        <w:tc>
          <w:tcPr>
            <w:tcW w:w="2778" w:type="dxa"/>
            <w:vAlign w:val="center"/>
          </w:tcPr>
          <w:p w14:paraId="67F7E866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二、监督抽查、召回与质量风险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法国通报肉类吸水垫分层，丹麦记录禁售和从接收方撤回；原记录未说明具体失效机理。</w:t>
            </w:r>
          </w:p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原记录列铝迁移15.3 mg/kg、比较限值5 mg/kg，并记撤市；不能把迁移量理解为铝材总含量。</w:t>
            </w:r>
          </w:p>
        </w:tc>
      </w:tr>
      <w:tr w:rsidR="00741353" w14:paraId="716A2FD7" w14:textId="77777777">
        <w:trPr>
          <w:cantSplit/>
        </w:trPr>
        <w:tc>
          <w:tcPr>
            <w:tcW w:w="2778" w:type="dxa"/>
            <w:vAlign w:val="center"/>
          </w:tcPr>
          <w:p w14:paraId="3D2FCD93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三、迁移物、NIAS与检测评价技术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两种方法的连续三次迁移结果均上升；原记录重点是材料不稳定，不能误写为超过15 mg/kg。</w:t>
            </w:r>
          </w:p>
        </w:tc>
      </w:tr>
      <w:tr w:rsidR="00741353" w14:paraId="30568B6B" w14:textId="77777777">
        <w:trPr>
          <w:cantSplit/>
        </w:trPr>
        <w:tc>
          <w:tcPr>
            <w:tcW w:w="2778" w:type="dxa"/>
            <w:vAlign w:val="center"/>
          </w:tcPr>
          <w:p w14:paraId="11BA2FBD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四、新材料、结构设计与食品应用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 xml:space="preserve">本期暂无可刊发条目。</w:t>
            </w:r>
          </w:p>
        </w:tc>
      </w:tr>
      <w:tr w:rsidR="00741353" w14:paraId="348AD92E" w14:textId="77777777">
        <w:trPr>
          <w:cantSplit/>
        </w:trPr>
        <w:tc>
          <w:tcPr>
            <w:tcW w:w="2778" w:type="dxa"/>
            <w:vAlign w:val="center"/>
          </w:tcPr>
          <w:p w14:paraId="032F4B9D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五、市场准入、供应链与合规文件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 xml:space="preserve">本期暂无可刊发条目。</w:t>
            </w:r>
          </w:p>
        </w:tc>
      </w:tr>
      <w:tr w:rsidR="00741353" w14:paraId="4E96E3BA" w14:textId="77777777">
        <w:trPr>
          <w:cantSplit/>
        </w:trPr>
        <w:tc>
          <w:tcPr>
            <w:tcW w:w="2778" w:type="dxa"/>
            <w:vAlign w:val="center"/>
          </w:tcPr>
          <w:p w14:paraId="4DBA7D85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六、再生循环、绿色包装与行业标准化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 xml:space="preserve">本期暂无可刊发条目。</w:t>
            </w:r>
          </w:p>
        </w:tc>
      </w:tr>
    </w:tbl>
    <w:p w14:paraId="0DAB29BE" w14:textId="77777777" w:rsidR="00741353" w:rsidRDefault="00AF0D74">
      <w:pPr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本刊于2026年10月18日编制，覆盖期保持原周五16:30七天窗口。本期精选3条欧盟食品接触材料通报，聚焦肉类吸水垫分层、铝瓶迁移及密胺盘重复接触稳定性。国内及产业来源本轮未核得可入选的合格新增，部分入口访问或覆盖受限，不等同没有更新。</w:t>
      </w:r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1"/>
      </w:pPr>
      <w:r>
        <w:t xml:space="preserve">二、监督抽查、召回与质量风险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德国来源肉类吸水垫出现分层：复核包装完整性与批次追溯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欧盟｜2026-10-13通报核验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10月13日核验的RASFF通报2026.9070涉及德国来源肉类吸水垫（Meat Pad）分层问题。通报国为法国，依据消费者投诉，类型为“供关注的信息通报”，风险判断为“潜在风险”。原记录列有丹麦采取禁售及从接收方撤回的措施，并显示产品流向多个欧洲市场。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公开记录未给出分层发生的位置、材料结构、脱落物或迁移试验结果，不能直接归因为胶黏剂、纤维或某种添加剂。建议包装及肉制品企业按涉事批次核对供应链和流向，并在真实肉汁、冷藏时间及运输挤压条件下复核层间结合、封边和吸液后完整性。风险筛查应同时关注材料合规与使用过程中的结构稳定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1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欧盟委员会RASFF｜2026.9070</w:t>
        </w:r>
      </w:hyperlink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西班牙来源铝制饮水瓶迁移通报：结果与官方风险等级分别解读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欧盟｜2026-10-15通报核验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法国在10月15日核验的RASFF通报2026.9151涉及西班牙来源铝制饮水瓶。原记录列铝迁移结果15.3 mg/kg，比较限值为5 mg/kg；类型为“供跟进的信息通报”，风险判断为“不严重”，法国采取撤市措施。产品为带登山扣瓶盖的黑色饮水瓶，标示容量800 mL，流向法国、意大利、葡萄牙和西班牙。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采样日期为2026年5月27日，本刊按10月15日通报核验节点收录，不写成当周采样。数值为迁移结果，公开记录未给出完整接触条件及比较限值的法律依据；不能自动推定中国标准不合格，也不能因官方风险等级为“不严重”而忽略撤市措施。建议按预期盛装介质、温度、时间和重复使用条件复核内表面保护、使用说明及目标市场判定依据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2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欧盟委员会RASFF｜2026.9151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 xml:space="preserve">三、迁移物、NIAS与检测评价技术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密胺盘甲醛迁移逐次上升：单次低于列示限值仍需审查稳定性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欧盟｜2026-10-14通报核验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波兰在10月14日核验的RASFF通报2026.9121涉及中国来源密胺盘，类型为“供跟进的信息通报”，风险判断为“可能严重”，采取通知主管机关措施。原文风险说明指出材料不稳定，并列出3%乙酸、70℃接触2小时条件下的连续三次甲醛迁移结果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乙酰丙酮法的三次均值依次为1.16、1.50和2.73 mg/kg。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变色酸法的三次均值依次为1.29、2.01和2.94 mg/kg。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原记录另列的比较限值为15 mg/kg，各次均值均未超过该值；两种方法的结果均逐次增加，且各结果均列有不确定度。原文指出材料不稳定，不能将该通报改写为“甲醛迁移超限”。技术评价应关注连续接触中的材料稳定性和迁移变化。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采样日期为9月17日，公开记录未提供完整实验报告和全部判定论证。建议实验室保留每轮结果及其不确定度，复核试验顺序、接触条件、方法差异和趋势判断；供应商应结合重复使用声明评价材料稳定性。不能用一次低于限值的结果替代完整适用性判断，也不能由单条通报推断全部密胺制品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3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欧盟委员会RASFF｜2026.9121</w:t>
        </w:r>
      </w:hyperlink>
    </w:p>
    <w:p w14:paraId="7234CB7C" w14:textId="77777777" w:rsidR="00741353" w:rsidRDefault="00AF0D74">
      <w:pPr>
        <w:pStyle w:val="21"/>
        <w:spacing w:before="140" w:line="380" w:lineRule="exact"/>
      </w:pPr>
      <w:r>
        <w:t>使用说明</w:t>
      </w:r>
    </w:p>
    <w:p w14:paraId="6E6F4F60" w14:textId="77777777" w:rsidR="00741353" w:rsidRDefault="00AF0D74">
      <w:pPr>
        <w:spacing w:line="290" w:lineRule="exact"/>
        <w:wordWrap w:val="0"/>
      </w:pPr>
      <w:r>
        <w:rPr>
          <w:sz w:val="21"/>
          <w:szCs w:val="21"/>
        </w:rPr>
        <w:t xml:space="preserve">本刊保留六栏监测框架，无合格新增的栏目不以旧闻补位。两个卫健委定向栏目已独立核至窗口下界，未见本期新增；24个计划来源均有实际处置，一般来源部分为局部核验、访问失败或共享故障冷却，不作全面覆盖声明。RASFF使用合格共享快照及原始明细，以通报核验节点收录，采样日期另列；边界日时区未定记录不纳入。快照取得于10月17日，正文仅采用本期以内可识别的事实与措施；迁移量、比较限值、官方风险等级及建议分别表达。</w:t>
      </w:r>
    </w:p>
    <w:sectPr w:rsidR="00741353" w:rsidSect="00034616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020" w:right="1134" w:bottom="964" w:left="1134" w:header="425" w:footer="4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45706" w14:textId="77777777" w:rsidR="00AF0D74" w:rsidRDefault="00AF0D74">
      <w:pPr>
        <w:spacing w:after="0" w:line="240" w:lineRule="auto"/>
      </w:pPr>
      <w:r>
        <w:separator/>
      </w:r>
    </w:p>
  </w:endnote>
  <w:endnote w:type="continuationSeparator" w:id="0">
    <w:p w14:paraId="0BB8E7FE" w14:textId="77777777" w:rsidR="00AF0D74" w:rsidRDefault="00AF0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>
  <w:font w:name="宋体">
    <w:charset w:val="86"/>
  </w:font>
  <w:font w:name="黑体">
    <w:charset w:val="86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BA4F8" w14:textId="77777777" w:rsidR="006F4FFB" w:rsidRDefault="006F4FF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9F7E9" w14:textId="77777777" w:rsidR="00071710" w:rsidRDefault="008A38A6">
    <w:pPr>
      <w:spacing w:line="240" w:lineRule="exact"/>
      <w:jc w:val="right"/>
    </w:pPr>
    <w:r>
      <w:rPr>
        <w:rFonts w:ascii="宋体" w:eastAsia="宋体" w:hAnsi="宋体" w:cs="宋体"/>
        <w:color w:val="555555"/>
        <w:sz w:val="17"/>
        <w:szCs w:val="17"/>
      </w:rPr>
      <w:t xml:space="preserve">食品接触材料行业资讯周报（内部测试版）  第 </w: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begin"/>
    </w:r>
    <w:r w:rsidR="00071710">
      <w:rPr>
        <w:rFonts w:ascii="宋体" w:eastAsia="宋体" w:hAnsi="宋体" w:cs="宋体"/>
        <w:color w:val="555555"/>
        <w:sz w:val="17"/>
        <w:szCs w:val="17"/>
      </w:rPr>
      <w:instrText>PAGE</w:instrTex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separate"/>
    </w:r>
    <w:r w:rsidR="00144C9B">
      <w:rPr>
        <w:rFonts w:ascii="宋体" w:eastAsia="宋体" w:hAnsi="宋体" w:cs="宋体"/>
        <w:noProof/>
        <w:color w:val="555555"/>
        <w:sz w:val="17"/>
        <w:szCs w:val="17"/>
      </w:rPr>
      <w:t>1</w: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end"/>
    </w:r>
    <w:r>
      <w:rPr>
        <w:rFonts w:ascii="宋体" w:eastAsia="宋体" w:hAnsi="宋体" w:cs="宋体"/>
        <w:color w:val="555555"/>
        <w:sz w:val="17"/>
        <w:szCs w:val="17"/>
      </w:rPr>
      <w:t xml:space="preserve"> 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45EE6" w14:textId="77777777" w:rsidR="006F4FFB" w:rsidRDefault="006F4FF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12EAF" w14:textId="77777777" w:rsidR="00AF0D74" w:rsidRDefault="00AF0D74">
      <w:pPr>
        <w:spacing w:after="0" w:line="240" w:lineRule="auto"/>
      </w:pPr>
      <w:r>
        <w:separator/>
      </w:r>
    </w:p>
  </w:footnote>
  <w:footnote w:type="continuationSeparator" w:id="0">
    <w:p w14:paraId="01EFFB83" w14:textId="77777777" w:rsidR="00AF0D74" w:rsidRDefault="00AF0D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3C5E0" w14:textId="77777777" w:rsidR="006F4FFB" w:rsidRDefault="006F4FF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AEF97" w14:textId="77777777" w:rsidR="00071710" w:rsidRDefault="00071710">
    <w:pPr>
      <w:pStyle w:val="a5"/>
      <w:spacing w:line="240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D9213" w14:textId="77777777" w:rsidR="006F4FFB" w:rsidRDefault="006F4FF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宋体" w:eastAsia="宋体" w:hAnsi="宋体" w:cs="宋体" w:hint="eastAsia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宋体" w:eastAsia="宋体" w:hAnsi="宋体" w:cs="宋体" w:hint="eastAsia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宋体" w:eastAsia="宋体" w:hAnsi="宋体" w:cs="宋体" w:hint="eastAsia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宋体" w:eastAsia="宋体" w:hAnsi="宋体" w:cs="宋体" w:hint="eastAsia"/>
      </w:rPr>
    </w:lvl>
  </w:abstractNum>
  <w:num w:numId="1" w16cid:durableId="1450274729">
    <w:abstractNumId w:val="8"/>
  </w:num>
  <w:num w:numId="2" w16cid:durableId="33821294">
    <w:abstractNumId w:val="6"/>
  </w:num>
  <w:num w:numId="3" w16cid:durableId="657615895">
    <w:abstractNumId w:val="5"/>
  </w:num>
  <w:num w:numId="4" w16cid:durableId="100497808">
    <w:abstractNumId w:val="4"/>
  </w:num>
  <w:num w:numId="5" w16cid:durableId="540869003">
    <w:abstractNumId w:val="7"/>
  </w:num>
  <w:num w:numId="6" w16cid:durableId="9527193">
    <w:abstractNumId w:val="3"/>
  </w:num>
  <w:num w:numId="7" w16cid:durableId="1123765509">
    <w:abstractNumId w:val="2"/>
  </w:num>
  <w:num w:numId="8" w16cid:durableId="1083721945">
    <w:abstractNumId w:val="1"/>
  </w:num>
  <w:num w:numId="9" w16cid:durableId="1418792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hideSpellingErrors w:val="true"/>
  <w:zoom w:percent="100"/>
  <w:bordersDoNotSurroundHeader/>
  <w:bordersDoNotSurroundFooter/>
  <w:hideGrammaticalErrors w:val="true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155C"/>
    <w:rsid w:val="00034616"/>
    <w:rsid w:val="0006063C"/>
    <w:rsid w:val="00071710"/>
    <w:rsid w:val="00144C9B"/>
    <w:rsid w:val="0015074B"/>
    <w:rsid w:val="00192115"/>
    <w:rsid w:val="0029639D"/>
    <w:rsid w:val="00326F90"/>
    <w:rsid w:val="005E45C4"/>
    <w:rsid w:val="006F4FFB"/>
    <w:rsid w:val="00741353"/>
    <w:rsid w:val="00870DE8"/>
    <w:rsid w:val="008A38A6"/>
    <w:rsid w:val="00962205"/>
    <w:rsid w:val="00AA1D8D"/>
    <w:rsid w:val="00AE4301"/>
    <w:rsid w:val="00AF0D74"/>
    <w:rsid w:val="00B47730"/>
    <w:rsid w:val="00C42746"/>
    <w:rsid w:val="00C6280B"/>
    <w:rsid w:val="00CB0664"/>
    <w:rsid w:val="00F2417D"/>
    <w:rsid w:val="00F7750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DC731B"/>
  <w14:defaultImageDpi w14:val="330"/>
  <w15:docId w15:val="{E17F98DE-E812-4396-81C7-FF1712B34E39}"/>
  <w:embedSystemFonts w:val="false"/>
  <w:embedTrueTypeFonts w:val="false"/>
  <w:saveSubsetFonts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宋体" w:eastAsia="宋体" w:hAnsi="宋体" w:cs="宋体" w:hint="eastAsia"/>
        <w:color w:val="000000"/>
        <w:sz w:val="24"/>
        <w:szCs w:val="24"/>
        <w:lang w:val="zh-CN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napToGrid w:val="0"/>
      <w:spacing w:after="80" w:line="308" w:lineRule="exact"/>
    </w:p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20" w:line="420" w:lineRule="exact"/>
      <w:outlineLvl w:val="0"/>
    </w:pPr>
    <w:rPr>
      <w:rFonts w:ascii="黑体" w:eastAsia="黑体" w:hAnsi="黑体" w:cs="黑体"/>
      <w:b/>
      <w:bCs/>
      <w:sz w:val="30"/>
      <w:szCs w:val="30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20" w:line="336" w:lineRule="exact"/>
      <w:outlineLvl w:val="1"/>
    </w:pPr>
    <w:rPr>
      <w:rFonts w:ascii="黑体" w:eastAsia="黑体" w:hAnsi="黑体" w:cs="黑体"/>
      <w:b/>
      <w:bCs/>
      <w:sz w:val="25"/>
      <w:szCs w:val="25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黑体" w:eastAsia="黑体" w:hAnsi="黑体" w:cs="黑体"/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黑体" w:eastAsia="黑体" w:hAnsi="黑体" w:cs="黑体"/>
      <w:b/>
      <w:bCs/>
      <w:iCs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宋体" w:eastAsia="宋体" w:hAnsi="宋体" w:cs="宋体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宋体" w:eastAsia="宋体" w:hAnsi="宋体" w:cs="宋体"/>
      <w:iCs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宋体" w:eastAsia="宋体" w:hAnsi="宋体" w:cs="宋体"/>
      <w:iCs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宋体" w:eastAsia="宋体" w:hAnsi="宋体" w:cs="宋体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宋体" w:eastAsia="宋体" w:hAnsi="宋体" w:cs="宋体"/>
      <w:iCs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="黑体" w:eastAsia="黑体" w:hAnsi="黑体" w:cs="黑体" w:hint="eastAsia"/>
      <w:b/>
      <w:bCs/>
      <w:i w:val="0"/>
      <w:color w:val="000000"/>
      <w:sz w:val="28"/>
      <w:szCs w:val="28"/>
      <w:lang w:val="zh-CN" w:eastAsia="zh-CN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="黑体" w:eastAsia="黑体" w:hAnsi="黑体" w:cs="黑体" w:hint="eastAsia"/>
      <w:b/>
      <w:bCs/>
      <w:i w:val="0"/>
      <w:color w:val="000000"/>
      <w:sz w:val="26"/>
      <w:szCs w:val="26"/>
      <w:lang w:val="zh-CN" w:eastAsia="zh-CN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="黑体" w:eastAsia="黑体" w:hAnsi="黑体" w:cs="黑体" w:hint="eastAsia"/>
      <w:b/>
      <w:bCs/>
      <w:i w:val="0"/>
      <w:color w:val="000000"/>
      <w:lang w:val="zh-CN" w:eastAsia="zh-CN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line="700" w:lineRule="exact"/>
      <w:contextualSpacing/>
    </w:pPr>
    <w:rPr>
      <w:rFonts w:ascii="黑体" w:eastAsia="黑体" w:hAnsi="黑体" w:cs="黑体"/>
      <w:b/>
      <w:bCs/>
      <w:sz w:val="46"/>
      <w:szCs w:val="46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="宋体" w:eastAsia="宋体" w:hAnsi="宋体" w:cs="宋体" w:hint="eastAsia"/>
      <w:i w:val="0"/>
      <w:color w:val="000000"/>
      <w:sz w:val="52"/>
      <w:szCs w:val="52"/>
      <w:lang w:val="zh-CN" w:eastAsia="zh-CN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="宋体" w:eastAsia="宋体" w:hAnsi="宋体" w:cs="宋体"/>
      <w:iCs/>
      <w:sz w:val="22"/>
      <w:szCs w:val="22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="宋体" w:eastAsia="宋体" w:hAnsi="宋体" w:cs="宋体" w:hint="eastAsia"/>
      <w:i w:val="0"/>
      <w:iCs/>
      <w:color w:val="000000"/>
      <w:sz w:val="24"/>
      <w:szCs w:val="24"/>
      <w:lang w:val="zh-CN" w:eastAsia="zh-CN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正文文本 字符"/>
    <w:basedOn w:val="a2"/>
    <w:link w:val="af"/>
    <w:uiPriority w:val="99"/>
    <w:rsid w:val="00AA1D8D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rFonts w:ascii="宋体" w:eastAsia="宋体" w:hAnsi="宋体" w:cs="宋体" w:hint="eastAsia"/>
      <w:i w:val="0"/>
      <w:color w:val="000000"/>
      <w:sz w:val="16"/>
      <w:szCs w:val="16"/>
      <w:lang w:val="zh-CN" w:eastAsia="zh-CN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宋体" w:eastAsia="宋体" w:hAnsi="宋体" w:cs="宋体" w:hint="eastAsia"/>
      <w:i w:val="0"/>
      <w:color w:val="000000"/>
      <w:sz w:val="20"/>
      <w:szCs w:val="20"/>
      <w:lang w:val="zh-CN" w:eastAsia="zh-CN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Cs/>
    </w:rPr>
  </w:style>
  <w:style w:type="character" w:customStyle="1" w:styleId="af6">
    <w:name w:val="引用 字符"/>
    <w:basedOn w:val="a2"/>
    <w:link w:val="af5"/>
    <w:uiPriority w:val="29"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="宋体" w:eastAsia="宋体" w:hAnsi="宋体" w:cs="宋体" w:hint="eastAsia"/>
      <w:i w:val="0"/>
      <w:color w:val="000000"/>
      <w:lang w:val="zh-CN" w:eastAsia="zh-CN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="宋体" w:eastAsia="宋体" w:hAnsi="宋体" w:cs="宋体" w:hint="eastAsia"/>
      <w:i w:val="0"/>
      <w:color w:val="000000"/>
      <w:sz w:val="20"/>
      <w:szCs w:val="20"/>
      <w:lang w:val="zh-CN" w:eastAsia="zh-CN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sz w:val="20"/>
      <w:szCs w:val="20"/>
      <w:lang w:val="zh-CN" w:eastAsia="zh-CN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rFonts w:ascii="黑体" w:eastAsia="黑体" w:hAnsi="黑体" w:cs="黑体" w:hint="eastAsia"/>
      <w:b/>
      <w:bCs/>
      <w:i w:val="0"/>
      <w:color w:val="000000"/>
      <w:lang w:val="zh-CN" w:eastAsia="zh-CN"/>
    </w:rPr>
  </w:style>
  <w:style w:type="character" w:styleId="af9">
    <w:name w:val="Emphasis"/>
    <w:basedOn w:val="a2"/>
    <w:uiPriority w:val="20"/>
    <w:qFormat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spacing w:before="200" w:after="280"/>
      <w:ind w:left="936" w:right="936"/>
    </w:pPr>
    <w:rPr>
      <w:b/>
      <w:bCs/>
      <w:iCs/>
    </w:rPr>
  </w:style>
  <w:style w:type="character" w:customStyle="1" w:styleId="afb">
    <w:name w:val="明显引用 字符"/>
    <w:basedOn w:val="a2"/>
    <w:link w:val="afa"/>
    <w:uiPriority w:val="30"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styleId="afc">
    <w:name w:val="Subtle Emphasis"/>
    <w:basedOn w:val="a2"/>
    <w:uiPriority w:val="19"/>
    <w:qFormat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styleId="afd">
    <w:name w:val="Intense Emphasis"/>
    <w:basedOn w:val="a2"/>
    <w:uiPriority w:val="21"/>
    <w:qFormat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styleId="afe">
    <w:name w:val="Subtle Reference"/>
    <w:basedOn w:val="a2"/>
    <w:uiPriority w:val="31"/>
    <w:qFormat/>
    <w:rsid w:val="00FC693F"/>
    <w:rPr>
      <w:rFonts w:ascii="宋体" w:eastAsia="宋体" w:hAnsi="宋体" w:cs="宋体" w:hint="eastAsia"/>
      <w:i w:val="0"/>
      <w:smallCaps/>
      <w:color w:val="000000"/>
      <w:u w:val="single"/>
      <w:lang w:val="zh-CN" w:eastAsia="zh-CN"/>
    </w:rPr>
  </w:style>
  <w:style w:type="character" w:styleId="aff">
    <w:name w:val="Intense Reference"/>
    <w:basedOn w:val="a2"/>
    <w:uiPriority w:val="32"/>
    <w:qFormat/>
    <w:rsid w:val="00FC693F"/>
    <w:rPr>
      <w:rFonts w:ascii="黑体" w:eastAsia="黑体" w:hAnsi="黑体" w:cs="黑体" w:hint="eastAsia"/>
      <w:b/>
      <w:bCs/>
      <w:i w:val="0"/>
      <w:smallCaps/>
      <w:color w:val="000000"/>
      <w:u w:val="single"/>
      <w:lang w:val="zh-CN" w:eastAsia="zh-CN"/>
    </w:rPr>
  </w:style>
  <w:style w:type="character" w:styleId="aff0">
    <w:name w:val="Book Title"/>
    <w:basedOn w:val="a2"/>
    <w:uiPriority w:val="33"/>
    <w:qFormat/>
    <w:rsid w:val="00FC693F"/>
    <w:rPr>
      <w:rFonts w:ascii="黑体" w:eastAsia="黑体" w:hAnsi="黑体" w:cs="黑体" w:hint="eastAsia"/>
      <w:b/>
      <w:bCs/>
      <w:i w:val="0"/>
      <w:smallCaps/>
      <w:color w:val="000000"/>
      <w:lang w:val="zh-CN" w:eastAsia="zh-CN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  <w:rPr>
      <w:rFonts w:ascii="宋体" w:eastAsia="宋体" w:hAnsi="宋体" w:cs="宋体"/>
    </w:r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26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28" Type="http://schemas.openxmlformats.org/officeDocument/2006/relationships/footer" Target="footer2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27" Type="http://schemas.openxmlformats.org/officeDocument/2006/relationships/footer" Target="footer1.xml"/><Relationship Id="rId30" Type="http://schemas.openxmlformats.org/officeDocument/2006/relationships/footer" Target="footer3.xml"/><Relationship Id="rIdNewsletterSource1" Type="http://schemas.openxmlformats.org/officeDocument/2006/relationships/hyperlink" Target="https://webgate.ec.europa.eu/rasff-window/screen/notification/872425" TargetMode="External"/><Relationship Id="rIdNewsletterSource2" Type="http://schemas.openxmlformats.org/officeDocument/2006/relationships/hyperlink" Target="https://webgate.ec.europa.eu/rasff-window/screen/notification/876607" TargetMode="External"/><Relationship Id="rIdNewsletterSource3" Type="http://schemas.openxmlformats.org/officeDocument/2006/relationships/hyperlink" Target="https://webgate.ec.europa.eu/rasff-window/screen/notification/87950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黑体"/>
        <a:ea typeface="黑体"/>
        <a:cs typeface="黑体"/>
        <a:font script="Jpan" typeface="黑体"/>
        <a:font script="Hang" typeface="黑体"/>
        <a:font script="Hans" typeface="黑体"/>
        <a:font script="Hant" typeface="黑体"/>
        <a:font script="Arab" typeface="黑体"/>
        <a:font script="Hebr" typeface="黑体"/>
        <a:font script="Thai" typeface="黑体"/>
        <a:font script="Ethi" typeface="黑体"/>
        <a:font script="Beng" typeface="黑体"/>
        <a:font script="Gujr" typeface="黑体"/>
        <a:font script="Khmr" typeface="黑体"/>
        <a:font script="Knda" typeface="黑体"/>
        <a:font script="Guru" typeface="黑体"/>
        <a:font script="Cans" typeface="黑体"/>
        <a:font script="Cher" typeface="黑体"/>
        <a:font script="Yiii" typeface="黑体"/>
        <a:font script="Tibt" typeface="黑体"/>
        <a:font script="Thaa" typeface="黑体"/>
        <a:font script="Deva" typeface="黑体"/>
        <a:font script="Telu" typeface="黑体"/>
        <a:font script="Taml" typeface="黑体"/>
        <a:font script="Syrc" typeface="黑体"/>
        <a:font script="Orya" typeface="黑体"/>
        <a:font script="Mlym" typeface="黑体"/>
        <a:font script="Laoo" typeface="黑体"/>
        <a:font script="Sinh" typeface="黑体"/>
        <a:font script="Mong" typeface="黑体"/>
        <a:font script="Viet" typeface="黑体"/>
        <a:font script="Uigh" typeface="黑体"/>
        <a:font script="Geor" typeface="黑体"/>
      </a:majorFont>
      <a:minorFont>
        <a:latin typeface="宋体"/>
        <a:ea typeface="宋体"/>
        <a:cs typeface="宋体"/>
        <a:font script="Jpan" typeface="宋体"/>
        <a:font script="Hang" typeface="宋体"/>
        <a:font script="Hans" typeface="宋体"/>
        <a:font script="Hant" typeface="宋体"/>
        <a:font script="Arab" typeface="宋体"/>
        <a:font script="Hebr" typeface="宋体"/>
        <a:font script="Thai" typeface="宋体"/>
        <a:font script="Ethi" typeface="宋体"/>
        <a:font script="Beng" typeface="宋体"/>
        <a:font script="Gujr" typeface="宋体"/>
        <a:font script="Khmr" typeface="宋体"/>
        <a:font script="Knda" typeface="宋体"/>
        <a:font script="Guru" typeface="宋体"/>
        <a:font script="Cans" typeface="宋体"/>
        <a:font script="Cher" typeface="宋体"/>
        <a:font script="Yiii" typeface="宋体"/>
        <a:font script="Tibt" typeface="宋体"/>
        <a:font script="Thaa" typeface="宋体"/>
        <a:font script="Deva" typeface="宋体"/>
        <a:font script="Telu" typeface="宋体"/>
        <a:font script="Taml" typeface="宋体"/>
        <a:font script="Syrc" typeface="宋体"/>
        <a:font script="Orya" typeface="宋体"/>
        <a:font script="Mlym" typeface="宋体"/>
        <a:font script="Laoo" typeface="宋体"/>
        <a:font script="Sinh" typeface="宋体"/>
        <a:font script="Mong" typeface="宋体"/>
        <a:font script="Viet" typeface="宋体"/>
        <a:font script="Uigh" typeface="宋体"/>
        <a:font script="Geor" typeface="宋体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食品接触材料行业资讯周报（内部测试版）</dc:title>
  <dc:subject>2026年10月9日16:30至10月16日16:30（北京时间）</dc:subject>
  <dc:creator/>
  <cp:keywords/>
  <dc:description/>
  <cp:lastModifiedBy/>
  <cp:revision>1</cp:revision>
  <dcterms:created xsi:type="dcterms:W3CDTF">2026-10-18T05:04:53Z</dcterms:created>
  <dcterms:modified xsi:type="dcterms:W3CDTF">2026-10-18T05:04:53Z</dcterms:modified>
  <cp:category/>
</cp:coreProperties>
</file>