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1ECEE1" w14:textId="77777777" w:rsidR="00741353" w:rsidRDefault="00AF0D74">
      <w:pPr>
        <w:pStyle w:val="aa"/>
        <w:spacing w:after="140" w:line="640" w:lineRule="exact"/>
        <w:wordWrap w:val="0"/>
      </w:pPr>
      <w:r>
        <w:t>食品接触材料行业资讯周报（内部测试版）</w:t>
      </w:r>
    </w:p>
    <w:p w14:paraId="1DF36016" w14:textId="77777777" w:rsidR="00741353" w:rsidRDefault="00AF0D74">
      <w:pPr>
        <w:pStyle w:val="ac"/>
        <w:spacing w:after="160" w:line="320" w:lineRule="exact"/>
        <w:wordWrap w:val="0"/>
      </w:pPr>
      <w:r>
        <w:t xml:space="preserve">2026年10月16日16:30至10月23日16:30（北京时间）</w:t>
      </w:r>
    </w:p>
    <w:p w14:paraId="1CB9F75F" w14:textId="77777777" w:rsidR="00741353" w:rsidRDefault="00AF0D74">
      <w:pPr>
        <w:pStyle w:val="1"/>
        <w:spacing w:before="200" w:line="440" w:lineRule="exact"/>
      </w:pPr>
      <w:r>
        <w:t>本期要点速览</w:t>
      </w:r>
    </w:p>
    <w:tbl>
      <w:tblPr>
        <w:tblW w:w="9639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125" w:type="dxa"/>
          <w:left w:w="125" w:type="dxa"/>
          <w:bottom w:w="125" w:type="dxa"/>
          <w:right w:w="125" w:type="dxa"/>
        </w:tblCellMar>
        <w:tblLook w:val="04A0" w:firstRow="1" w:lastRow="0" w:firstColumn="1" w:lastColumn="0" w:noHBand="0" w:noVBand="1"/>
      </w:tblPr>
      <w:tblGrid>
        <w:gridCol w:w="2778"/>
        <w:gridCol w:w="6861"/>
      </w:tblGrid>
      <w:tr w:rsidR="00741353" w14:paraId="086449A1" w14:textId="77777777">
        <w:trPr>
          <w:cantSplit/>
          <w:tblHeader/>
        </w:trPr>
        <w:tc>
          <w:tcPr>
            <w:tcW w:w="2778" w:type="dxa"/>
            <w:shd w:val="clear" w:color="auto" w:fill="E8EEF3"/>
            <w:vAlign w:val="center"/>
          </w:tcPr>
          <w:p w14:paraId="2553C703" w14:textId="77777777" w:rsidR="00741353" w:rsidRDefault="00AF0D74">
            <w:pPr>
              <w:spacing w:after="60" w:line="360" w:lineRule="exact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栏目</w:t>
            </w:r>
          </w:p>
        </w:tc>
        <w:tc>
          <w:tcPr>
            <w:tcW w:w="6860" w:type="dxa"/>
            <w:shd w:val="clear" w:color="auto" w:fill="E8EEF3"/>
            <w:vAlign w:val="center"/>
          </w:tcPr>
          <w:p w14:paraId="1A068D37" w14:textId="77777777" w:rsidR="00741353" w:rsidRDefault="00AF0D74">
            <w:pPr>
              <w:spacing w:after="60" w:line="360" w:lineRule="exact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本期要点</w:t>
            </w:r>
          </w:p>
        </w:tc>
      </w:tr>
      <w:tr w:rsidR="00741353" w14:paraId="0DAE04B9" w14:textId="77777777">
        <w:trPr>
          <w:cantSplit/>
        </w:trPr>
        <w:tc>
          <w:tcPr>
            <w:tcW w:w="2778" w:type="dxa"/>
            <w:vAlign w:val="center"/>
          </w:tcPr>
          <w:p w14:paraId="0A696661" w14:textId="77777777" w:rsidR="00741353" w:rsidRDefault="00AF0D74">
            <w:pPr>
              <w:spacing w:after="60" w:line="360" w:lineRule="exact"/>
              <w:wordWrap w:val="0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一、法规标准、授权与实施节点</w:t>
            </w:r>
          </w:p>
        </w:tc>
        <w:tc>
          <w:tcPr>
            <w:tcW w:w="6860" w:type="dxa"/>
            <w:vAlign w:val="center"/>
          </w:tcPr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>•</w:t>
              <w:tab/>
            </w:r>
            <w:r>
              <w:rPr>
                <w:sz w:val="23"/>
                <w:szCs w:val="23"/>
              </w:rPr>
              <w:t xml:space="preserve">年度建议收集截止11月30日；需同时提交标准草案和编制说明，征集通知不等于项目已获批准。</w:t>
            </w:r>
          </w:p>
        </w:tc>
      </w:tr>
      <w:tr w:rsidR="00741353" w14:paraId="3D7E9BE7" w14:textId="77777777">
        <w:trPr>
          <w:cantSplit/>
        </w:trPr>
        <w:tc>
          <w:tcPr>
            <w:tcW w:w="2778" w:type="dxa"/>
            <w:vAlign w:val="center"/>
          </w:tcPr>
          <w:p w14:paraId="67F7E866" w14:textId="77777777" w:rsidR="00741353" w:rsidRDefault="00AF0D74">
            <w:pPr>
              <w:spacing w:after="60" w:line="360" w:lineRule="exact"/>
              <w:wordWrap w:val="0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二、监督抽查、召回与质量风险</w:t>
            </w:r>
          </w:p>
        </w:tc>
        <w:tc>
          <w:tcPr>
            <w:tcW w:w="6860" w:type="dxa"/>
            <w:vAlign w:val="center"/>
          </w:tcPr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>•</w:t>
              <w:tab/>
            </w:r>
            <w:r>
              <w:rPr>
                <w:sz w:val="23"/>
                <w:szCs w:val="23"/>
              </w:rPr>
              <w:t xml:space="preserve">原记录列1.82%及比较限值0.5%；未提供完整方法与条件，不能直接套用为中国标准不合格。</w:t>
            </w:r>
          </w:p>
        </w:tc>
      </w:tr>
      <w:tr w:rsidR="00741353" w14:paraId="716A2FD7" w14:textId="77777777">
        <w:trPr>
          <w:cantSplit/>
        </w:trPr>
        <w:tc>
          <w:tcPr>
            <w:tcW w:w="2778" w:type="dxa"/>
            <w:vAlign w:val="center"/>
          </w:tcPr>
          <w:p w14:paraId="3D2FCD93" w14:textId="77777777" w:rsidR="00741353" w:rsidRDefault="00AF0D74">
            <w:pPr>
              <w:spacing w:after="60" w:line="360" w:lineRule="exact"/>
              <w:wordWrap w:val="0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三、迁移物、NIAS与检测评价技术</w:t>
            </w:r>
          </w:p>
        </w:tc>
        <w:tc>
          <w:tcPr>
            <w:tcW w:w="6860" w:type="dxa"/>
            <w:vAlign w:val="center"/>
          </w:tcPr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>•</w:t>
              <w:tab/>
            </w:r>
            <w:r>
              <w:rPr>
                <w:sz w:val="23"/>
                <w:szCs w:val="23"/>
              </w:rPr>
              <w:t xml:space="preserve">通报列比较限值0.002 mg/kg，未公开实测值；保留比利时撤市措施，不纳入闭窗归属未明的23日后续措施。</w:t>
            </w:r>
          </w:p>
        </w:tc>
      </w:tr>
      <w:tr w:rsidR="00741353" w14:paraId="30568B6B" w14:textId="77777777">
        <w:trPr>
          <w:cantSplit/>
        </w:trPr>
        <w:tc>
          <w:tcPr>
            <w:tcW w:w="2778" w:type="dxa"/>
            <w:vAlign w:val="center"/>
          </w:tcPr>
          <w:p w14:paraId="11BA2FBD" w14:textId="77777777" w:rsidR="00741353" w:rsidRDefault="00AF0D74">
            <w:pPr>
              <w:spacing w:after="60" w:line="360" w:lineRule="exact"/>
              <w:wordWrap w:val="0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四、新材料、结构设计与食品应用</w:t>
            </w:r>
          </w:p>
        </w:tc>
        <w:tc>
          <w:tcPr>
            <w:tcW w:w="6860" w:type="dxa"/>
            <w:vAlign w:val="center"/>
          </w:tcPr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 xml:space="preserve">本期暂无可刊发条目。</w:t>
            </w:r>
          </w:p>
        </w:tc>
      </w:tr>
      <w:tr w:rsidR="00741353" w14:paraId="348AD92E" w14:textId="77777777">
        <w:trPr>
          <w:cantSplit/>
        </w:trPr>
        <w:tc>
          <w:tcPr>
            <w:tcW w:w="2778" w:type="dxa"/>
            <w:vAlign w:val="center"/>
          </w:tcPr>
          <w:p w14:paraId="032F4B9D" w14:textId="77777777" w:rsidR="00741353" w:rsidRDefault="00AF0D74">
            <w:pPr>
              <w:spacing w:after="60" w:line="360" w:lineRule="exact"/>
              <w:wordWrap w:val="0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五、市场准入、供应链与合规文件</w:t>
            </w:r>
          </w:p>
        </w:tc>
        <w:tc>
          <w:tcPr>
            <w:tcW w:w="6860" w:type="dxa"/>
            <w:vAlign w:val="center"/>
          </w:tcPr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 xml:space="preserve">本期暂无可刊发条目。</w:t>
            </w:r>
          </w:p>
        </w:tc>
      </w:tr>
      <w:tr w:rsidR="00741353" w14:paraId="4E96E3BA" w14:textId="77777777">
        <w:trPr>
          <w:cantSplit/>
        </w:trPr>
        <w:tc>
          <w:tcPr>
            <w:tcW w:w="2778" w:type="dxa"/>
            <w:vAlign w:val="center"/>
          </w:tcPr>
          <w:p w14:paraId="4DBA7D85" w14:textId="77777777" w:rsidR="00741353" w:rsidRDefault="00AF0D74">
            <w:pPr>
              <w:spacing w:after="60" w:line="360" w:lineRule="exact"/>
              <w:wordWrap w:val="0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六、再生循环、绿色包装与行业标准化</w:t>
            </w:r>
          </w:p>
        </w:tc>
        <w:tc>
          <w:tcPr>
            <w:tcW w:w="6860" w:type="dxa"/>
            <w:vAlign w:val="center"/>
          </w:tcPr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 xml:space="preserve">本期暂无可刊发条目。</w:t>
            </w:r>
          </w:p>
        </w:tc>
      </w:tr>
    </w:tbl>
    <w:p w14:paraId="0DAB29BE" w14:textId="77777777" w:rsidR="00741353" w:rsidRDefault="00AF0D74">
      <w:pPr>
        <w:spacing w:line="290" w:lineRule="exact"/>
        <w:wordWrap w:val="0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本期精选3条资讯，关注国内食品安全国家标准立项建议征集，以及欧盟儿童硅胶碗挥发性组分、尼龙餐具MDA迁移通报。实际编制日期为2026年10月25日，保留原周五16:30七天窗口。</w:t>
      </w:r>
    </w:p>
    <w:p w14:paraId="7A6D2953" w14:textId="77777777" w:rsidR="00741353" w:rsidRDefault="00AF0D74">
      <w:pPr>
        <w:pStyle w:val="1"/>
        <w:spacing w:before="200" w:line="440" w:lineRule="exact"/>
        <w:wordWrap w:val="0"/>
        <w:pageBreakBefore w:val="1"/>
      </w:pPr>
      <w:r>
        <w:t xml:space="preserve">一、法规标准、授权与实施节点</w:t>
      </w:r>
    </w:p>
    <w:p w14:paraId="48D7440C" w14:textId="77777777" w:rsidR="00741353" w:rsidRDefault="00AF0D74">
      <w:pPr>
        <w:pStyle w:val="21"/>
        <w:spacing w:before="140" w:line="380" w:lineRule="exact"/>
        <w:wordWrap w:val="0"/>
      </w:pPr>
      <w:r>
        <w:t xml:space="preserve">2027年度食品安全国家标准立项建议征集：接触材料提案应准备风险证据</w:t>
      </w:r>
    </w:p>
    <w:p w14:paraId="055A539C" w14:textId="77777777" w:rsidR="00741353" w:rsidRDefault="00AF0D74">
      <w:pPr>
        <w:keepNext/>
        <w:spacing w:line="290" w:lineRule="exact"/>
        <w:wordWrap w:val="0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2026-10-19｜国家卫生健康委｜立项建议征集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卫健委10月19日公开国卫办食品函〔2026〕332号，征集2027年度食品安全国家标准立项建议；文件成文日期为10月15日。通知强调与风险监测评估、营养监测评估和标准跟踪评价衔接，要求有充分科学依据和相对成熟的标准文本草案。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各单位、组织或个人通过食品安全国家标准立项建议征集系统报送建议书，同时提交标准草案及编制说明。系统全年开放，其中2027年度建议收集截止2026年11月30日；农兽药残留限量及检验方法另行征集。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对食品接触材料企业及技术机构，建议把拟解决的安全问题、监测或抽检数据、毒理与暴露资料、适用范围、方法可行性及国内外标准差异组织成可审查证据。这里是面向相关技术提案的工作建议；通知未列出某项接触材料标准获准立项，也没有改变现行产品合规要求。</w:t>
      </w:r>
    </w:p>
    <w:p w14:paraId="21359F8A" w14:textId="7BCCA01E" w:rsidR="00741353" w:rsidRDefault="00AF0D74">
      <w:pPr>
        <w:spacing w:after="160" w:line="280" w:lineRule="exact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来源 </w:t>
      </w:r>
      <w:hyperlink r:id="rIdNewsletterSource1">
        <w:r>
          <w:rPr>
            <w:rFonts w:ascii="宋体" w:eastAsia="宋体" w:hAnsi="宋体" w:cs="宋体"/>
            <w:color w:val="245D83"/>
            <w:sz w:val="19"/>
            <w:szCs w:val="19"/>
            <w:u w:val="single"/>
          </w:rPr>
          <w:t>国家卫生健康委｜立项建议征集</w:t>
        </w:r>
      </w:hyperlink>
    </w:p>
    <w:p w14:paraId="7A6D2953" w14:textId="77777777" w:rsidR="00741353" w:rsidRDefault="00AF0D74">
      <w:pPr>
        <w:pStyle w:val="1"/>
        <w:spacing w:before="200" w:line="440" w:lineRule="exact"/>
        <w:wordWrap w:val="0"/>
        <w:pageBreakBefore w:val="0"/>
      </w:pPr>
      <w:r>
        <w:t xml:space="preserve">二、监督抽查、召回与质量风险</w:t>
      </w:r>
    </w:p>
    <w:p w14:paraId="48D7440C" w14:textId="77777777" w:rsidR="00741353" w:rsidRDefault="00AF0D74">
      <w:pPr>
        <w:pStyle w:val="21"/>
        <w:spacing w:before="140" w:line="380" w:lineRule="exact"/>
        <w:wordWrap w:val="0"/>
      </w:pPr>
      <w:r>
        <w:t xml:space="preserve">儿童硅胶碗挥发性组分偏高：百分含量与特定迁移量分别判读</w:t>
      </w:r>
    </w:p>
    <w:p w14:paraId="055A539C" w14:textId="77777777" w:rsidR="00741353" w:rsidRDefault="00AF0D74">
      <w:pPr>
        <w:keepNext/>
        <w:spacing w:line="290" w:lineRule="exact"/>
        <w:wordWrap w:val="0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2026-10-20｜欧盟委员会RASFF｜2026.9335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斯洛文尼亚10月20日核验的RASFF通报2026.9335涉及中国来源儿童硅胶碗，题名为挥发性物质含量偏高。原记录列挥发性有机组分结果1.82%、比较限值0.5%，类型为“供关注的信息通报”，官方风险判断为“不严重”，措施为通知接收方，流通范围限通报国。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采样日期为9月9日，本刊按10月20日通报核验节点收录。公开记录未给出完整检测方法、接触条件或比较限值的法规出处，不能把百分含量写成某种化合物的特定迁移量，也不能自动推定违反中国标准。建议供应商结合配方、硫化及后处理条件复核挥发性组分控制，并由实验室确认目标市场要求、方法适用性和判定依据。</w:t>
      </w:r>
    </w:p>
    <w:p w14:paraId="21359F8A" w14:textId="7BCCA01E" w:rsidR="00741353" w:rsidRDefault="00AF0D74">
      <w:pPr>
        <w:spacing w:after="160" w:line="280" w:lineRule="exact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来源 </w:t>
      </w:r>
      <w:hyperlink r:id="rIdNewsletterSource2">
        <w:r>
          <w:rPr>
            <w:rFonts w:ascii="宋体" w:eastAsia="宋体" w:hAnsi="宋体" w:cs="宋体"/>
            <w:color w:val="245D83"/>
            <w:sz w:val="19"/>
            <w:szCs w:val="19"/>
            <w:u w:val="single"/>
          </w:rPr>
          <w:t>欧盟委员会RASFF｜2026.9335</w:t>
        </w:r>
      </w:hyperlink>
    </w:p>
    <w:p w14:paraId="7A6D2953" w14:textId="77777777" w:rsidR="00741353" w:rsidRDefault="00AF0D74">
      <w:pPr>
        <w:pStyle w:val="1"/>
        <w:spacing w:before="200" w:line="440" w:lineRule="exact"/>
        <w:wordWrap w:val="0"/>
        <w:pageBreakBefore w:val="0"/>
      </w:pPr>
      <w:r>
        <w:t xml:space="preserve">三、迁移物、NIAS与检测评价技术</w:t>
      </w:r>
    </w:p>
    <w:p w14:paraId="48D7440C" w14:textId="77777777" w:rsidR="00741353" w:rsidRDefault="00AF0D74">
      <w:pPr>
        <w:pStyle w:val="21"/>
        <w:spacing w:before="140" w:line="380" w:lineRule="exact"/>
        <w:wordWrap w:val="0"/>
      </w:pPr>
      <w:r>
        <w:t xml:space="preserve">尼龙餐具MDA迁移通报：缺少实测值时不计算超标倍数</w:t>
      </w:r>
    </w:p>
    <w:p w14:paraId="055A539C" w14:textId="77777777" w:rsidR="00741353" w:rsidRDefault="00AF0D74">
      <w:pPr>
        <w:keepNext/>
        <w:spacing w:line="290" w:lineRule="exact"/>
        <w:wordWrap w:val="0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2026-10-21｜欧盟委员会RASFF｜2026.9386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比利时10月21日核验的RASFF通报2026.9386涉及中国来源尼龙分餐铲，题名指出4,4′-二氨基二苯甲烷（MDA）迁移。类型为“供跟进的信息通报”，官方风险判断为“不严重”，依据为市场官方检查；原始记录列有比利时撤市措施，并显示流向多个市场。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危害字段列初级芳香胺迁移及比较限值0.002 mg/kg，但没有公开MDA实测数值、完整试验条件及该限值的具体适用条款，因此本刊不计算超标倍数。采样日期为9月14日，与本周核验日期分别表达；10月23日随访所新增的他国措施因源时区与闭窗归属未确定，未纳入本期事实。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建议相关供应商按产品和批次核对流向、原料及着色配方，实验室按实际接触介质、温度和时间评价相关初级芳香胺，并核对单项与总量要求、检出能力和报告判定口径。该建议用于风险排查，不能由单条通报推断全部尼龙制品或全部中国来源产品。</w:t>
      </w:r>
    </w:p>
    <w:p w14:paraId="21359F8A" w14:textId="7BCCA01E" w:rsidR="00741353" w:rsidRDefault="00AF0D74">
      <w:pPr>
        <w:spacing w:after="160" w:line="280" w:lineRule="exact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来源 </w:t>
      </w:r>
      <w:hyperlink r:id="rIdNewsletterSource3">
        <w:r>
          <w:rPr>
            <w:rFonts w:ascii="宋体" w:eastAsia="宋体" w:hAnsi="宋体" w:cs="宋体"/>
            <w:color w:val="245D83"/>
            <w:sz w:val="19"/>
            <w:szCs w:val="19"/>
            <w:u w:val="single"/>
          </w:rPr>
          <w:t>欧盟委员会RASFF｜2026.9386</w:t>
        </w:r>
      </w:hyperlink>
    </w:p>
    <w:p w14:paraId="7234CB7C" w14:textId="77777777" w:rsidR="00741353" w:rsidRDefault="00AF0D74">
      <w:pPr>
        <w:pStyle w:val="21"/>
        <w:spacing w:before="140" w:line="380" w:lineRule="exact"/>
      </w:pPr>
      <w:r>
        <w:t>使用说明</w:t>
      </w:r>
    </w:p>
    <w:p w14:paraId="6E6F4F60" w14:textId="77777777" w:rsidR="00741353" w:rsidRDefault="00AF0D74">
      <w:pPr>
        <w:spacing w:line="290" w:lineRule="exact"/>
        <w:wordWrap w:val="0"/>
      </w:pPr>
      <w:r>
        <w:rPr>
          <w:sz w:val="21"/>
          <w:szCs w:val="21"/>
        </w:rPr>
        <w:t xml:space="preserve">保留六栏监测框架，无合格新增不以旧闻补位。两个卫健委定向栏目已独立核至窗口下界，并复核当期原文；24个计划来源均保留处置记录，一般来源部分局部核验或访问失败，不作全面覆盖声明。RASFF使用10月24日合格共享快照及原始明细，仅采用本期安全内窗核验节点和可辨识事实；已撤回重复通报、闭窗归属不明的边界后续措施不列新增。结果、比较限值、官方风险等级与技术建议分别表达。</w:t>
      </w:r>
    </w:p>
    <w:sectPr w:rsidR="00741353" w:rsidSect="00034616"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pgSz w:w="11906" w:h="16838"/>
      <w:pgMar w:top="1020" w:right="1134" w:bottom="964" w:left="1134" w:header="425" w:footer="42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B45706" w14:textId="77777777" w:rsidR="00AF0D74" w:rsidRDefault="00AF0D74">
      <w:pPr>
        <w:spacing w:after="0" w:line="240" w:lineRule="auto"/>
      </w:pPr>
      <w:r>
        <w:separator/>
      </w:r>
    </w:p>
  </w:endnote>
  <w:endnote w:type="continuationSeparator" w:id="0">
    <w:p w14:paraId="0BB8E7FE" w14:textId="77777777" w:rsidR="00AF0D74" w:rsidRDefault="00AF0D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w="http://schemas.openxmlformats.org/wordprocessingml/2006/main">
  <w:font w:name="宋体">
    <w:charset w:val="86"/>
  </w:font>
  <w:font w:name="黑体">
    <w:charset w:val="86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BA4F8" w14:textId="77777777" w:rsidR="006F4FFB" w:rsidRDefault="006F4FFB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9F7E9" w14:textId="77777777" w:rsidR="00071710" w:rsidRDefault="008A38A6">
    <w:pPr>
      <w:spacing w:line="240" w:lineRule="exact"/>
      <w:jc w:val="right"/>
    </w:pPr>
    <w:r>
      <w:rPr>
        <w:rFonts w:ascii="宋体" w:eastAsia="宋体" w:hAnsi="宋体" w:cs="宋体"/>
        <w:color w:val="555555"/>
        <w:sz w:val="17"/>
        <w:szCs w:val="17"/>
      </w:rPr>
      <w:t xml:space="preserve">食品接触材料行业资讯周报（内部测试版）  第 </w:t>
    </w:r>
    <w:r w:rsidR="00071710">
      <w:rPr>
        <w:rFonts w:ascii="宋体" w:eastAsia="宋体" w:hAnsi="宋体" w:cs="宋体"/>
        <w:color w:val="555555"/>
        <w:sz w:val="17"/>
        <w:szCs w:val="17"/>
      </w:rPr>
      <w:fldChar w:fldCharType="begin"/>
    </w:r>
    <w:r w:rsidR="00071710">
      <w:rPr>
        <w:rFonts w:ascii="宋体" w:eastAsia="宋体" w:hAnsi="宋体" w:cs="宋体"/>
        <w:color w:val="555555"/>
        <w:sz w:val="17"/>
        <w:szCs w:val="17"/>
      </w:rPr>
      <w:instrText>PAGE</w:instrText>
    </w:r>
    <w:r w:rsidR="00071710">
      <w:rPr>
        <w:rFonts w:ascii="宋体" w:eastAsia="宋体" w:hAnsi="宋体" w:cs="宋体"/>
        <w:color w:val="555555"/>
        <w:sz w:val="17"/>
        <w:szCs w:val="17"/>
      </w:rPr>
      <w:fldChar w:fldCharType="separate"/>
    </w:r>
    <w:r w:rsidR="00144C9B">
      <w:rPr>
        <w:rFonts w:ascii="宋体" w:eastAsia="宋体" w:hAnsi="宋体" w:cs="宋体"/>
        <w:noProof/>
        <w:color w:val="555555"/>
        <w:sz w:val="17"/>
        <w:szCs w:val="17"/>
      </w:rPr>
      <w:t>1</w:t>
    </w:r>
    <w:r w:rsidR="00071710">
      <w:rPr>
        <w:rFonts w:ascii="宋体" w:eastAsia="宋体" w:hAnsi="宋体" w:cs="宋体"/>
        <w:color w:val="555555"/>
        <w:sz w:val="17"/>
        <w:szCs w:val="17"/>
      </w:rPr>
      <w:fldChar w:fldCharType="end"/>
    </w:r>
    <w:r>
      <w:rPr>
        <w:rFonts w:ascii="宋体" w:eastAsia="宋体" w:hAnsi="宋体" w:cs="宋体"/>
        <w:color w:val="555555"/>
        <w:sz w:val="17"/>
        <w:szCs w:val="17"/>
      </w:rPr>
      <w:t xml:space="preserve"> 页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F45EE6" w14:textId="77777777" w:rsidR="006F4FFB" w:rsidRDefault="006F4FFB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212EAF" w14:textId="77777777" w:rsidR="00AF0D74" w:rsidRDefault="00AF0D74">
      <w:pPr>
        <w:spacing w:after="0" w:line="240" w:lineRule="auto"/>
      </w:pPr>
      <w:r>
        <w:separator/>
      </w:r>
    </w:p>
  </w:footnote>
  <w:footnote w:type="continuationSeparator" w:id="0">
    <w:p w14:paraId="01EFFB83" w14:textId="77777777" w:rsidR="00AF0D74" w:rsidRDefault="00AF0D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3C5E0" w14:textId="77777777" w:rsidR="006F4FFB" w:rsidRDefault="006F4FFB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AEF97" w14:textId="77777777" w:rsidR="00071710" w:rsidRDefault="00071710">
    <w:pPr>
      <w:pStyle w:val="a5"/>
      <w:spacing w:line="240" w:lineRule="exac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D9213" w14:textId="77777777" w:rsidR="006F4FFB" w:rsidRDefault="006F4FFB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宋体" w:eastAsia="宋体" w:hAnsi="宋体" w:cs="宋体" w:hint="eastAsia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宋体" w:eastAsia="宋体" w:hAnsi="宋体" w:cs="宋体" w:hint="eastAsia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宋体" w:eastAsia="宋体" w:hAnsi="宋体" w:cs="宋体" w:hint="eastAsia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宋体" w:eastAsia="宋体" w:hAnsi="宋体" w:cs="宋体" w:hint="eastAsia"/>
      </w:rPr>
    </w:lvl>
  </w:abstractNum>
  <w:num w:numId="1" w16cid:durableId="1450274729">
    <w:abstractNumId w:val="8"/>
  </w:num>
  <w:num w:numId="2" w16cid:durableId="33821294">
    <w:abstractNumId w:val="6"/>
  </w:num>
  <w:num w:numId="3" w16cid:durableId="657615895">
    <w:abstractNumId w:val="5"/>
  </w:num>
  <w:num w:numId="4" w16cid:durableId="100497808">
    <w:abstractNumId w:val="4"/>
  </w:num>
  <w:num w:numId="5" w16cid:durableId="540869003">
    <w:abstractNumId w:val="7"/>
  </w:num>
  <w:num w:numId="6" w16cid:durableId="9527193">
    <w:abstractNumId w:val="3"/>
  </w:num>
  <w:num w:numId="7" w16cid:durableId="1123765509">
    <w:abstractNumId w:val="2"/>
  </w:num>
  <w:num w:numId="8" w16cid:durableId="1083721945">
    <w:abstractNumId w:val="1"/>
  </w:num>
  <w:num w:numId="9" w16cid:durableId="14187929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hideSpellingErrors w:val="true"/>
  <w:zoom w:percent="100"/>
  <w:bordersDoNotSurroundHeader/>
  <w:bordersDoNotSurroundFooter/>
  <w:hideGrammaticalErrors w:val="true"/>
  <w:revisionView w:markup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155C"/>
    <w:rsid w:val="00034616"/>
    <w:rsid w:val="0006063C"/>
    <w:rsid w:val="00071710"/>
    <w:rsid w:val="00144C9B"/>
    <w:rsid w:val="0015074B"/>
    <w:rsid w:val="00192115"/>
    <w:rsid w:val="0029639D"/>
    <w:rsid w:val="00326F90"/>
    <w:rsid w:val="005E45C4"/>
    <w:rsid w:val="006F4FFB"/>
    <w:rsid w:val="00741353"/>
    <w:rsid w:val="00870DE8"/>
    <w:rsid w:val="008A38A6"/>
    <w:rsid w:val="00962205"/>
    <w:rsid w:val="00AA1D8D"/>
    <w:rsid w:val="00AE4301"/>
    <w:rsid w:val="00AF0D74"/>
    <w:rsid w:val="00B47730"/>
    <w:rsid w:val="00C42746"/>
    <w:rsid w:val="00C6280B"/>
    <w:rsid w:val="00CB0664"/>
    <w:rsid w:val="00F2417D"/>
    <w:rsid w:val="00F7750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7DC731B"/>
  <w14:defaultImageDpi w14:val="330"/>
  <w15:docId w15:val="{E17F98DE-E812-4396-81C7-FF1712B34E39}"/>
  <w:saveSubsetFonts w:val="false"/>
  <w:embedTrueTypeFonts w:val="false"/>
  <w:embedSystemFonts w:val="fals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宋体" w:eastAsia="宋体" w:hAnsi="宋体" w:cs="宋体" w:hint="eastAsia"/>
        <w:color w:val="000000"/>
        <w:sz w:val="24"/>
        <w:szCs w:val="24"/>
        <w:lang w:val="zh-CN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napToGrid w:val="0"/>
      <w:spacing w:after="80" w:line="308" w:lineRule="exact"/>
    </w:p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20" w:line="420" w:lineRule="exact"/>
      <w:outlineLvl w:val="0"/>
    </w:pPr>
    <w:rPr>
      <w:rFonts w:ascii="黑体" w:eastAsia="黑体" w:hAnsi="黑体" w:cs="黑体"/>
      <w:b/>
      <w:bCs/>
      <w:sz w:val="30"/>
      <w:szCs w:val="30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20" w:line="336" w:lineRule="exact"/>
      <w:outlineLvl w:val="1"/>
    </w:pPr>
    <w:rPr>
      <w:rFonts w:ascii="黑体" w:eastAsia="黑体" w:hAnsi="黑体" w:cs="黑体"/>
      <w:b/>
      <w:bCs/>
      <w:sz w:val="25"/>
      <w:szCs w:val="25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黑体" w:eastAsia="黑体" w:hAnsi="黑体" w:cs="黑体"/>
      <w:b/>
      <w:bCs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黑体" w:eastAsia="黑体" w:hAnsi="黑体" w:cs="黑体"/>
      <w:b/>
      <w:bCs/>
      <w:iCs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宋体" w:eastAsia="宋体" w:hAnsi="宋体" w:cs="宋体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宋体" w:eastAsia="宋体" w:hAnsi="宋体" w:cs="宋体"/>
      <w:iCs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宋体" w:eastAsia="宋体" w:hAnsi="宋体" w:cs="宋体"/>
      <w:iCs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宋体" w:eastAsia="宋体" w:hAnsi="宋体" w:cs="宋体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宋体" w:eastAsia="宋体" w:hAnsi="宋体" w:cs="宋体"/>
      <w:iCs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  <w:rPr>
      <w:rFonts w:ascii="宋体" w:eastAsia="宋体" w:hAnsi="宋体" w:cs="宋体" w:hint="eastAsia"/>
      <w:i w:val="0"/>
      <w:color w:val="000000"/>
      <w:lang w:val="zh-CN" w:eastAsia="zh-CN"/>
    </w:rPr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  <w:rPr>
      <w:rFonts w:ascii="宋体" w:eastAsia="宋体" w:hAnsi="宋体" w:cs="宋体" w:hint="eastAsia"/>
      <w:i w:val="0"/>
      <w:color w:val="000000"/>
      <w:lang w:val="zh-CN" w:eastAsia="zh-CN"/>
    </w:rPr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="黑体" w:eastAsia="黑体" w:hAnsi="黑体" w:cs="黑体" w:hint="eastAsia"/>
      <w:b/>
      <w:bCs/>
      <w:i w:val="0"/>
      <w:color w:val="000000"/>
      <w:sz w:val="28"/>
      <w:szCs w:val="28"/>
      <w:lang w:val="zh-CN" w:eastAsia="zh-CN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="黑体" w:eastAsia="黑体" w:hAnsi="黑体" w:cs="黑体" w:hint="eastAsia"/>
      <w:b/>
      <w:bCs/>
      <w:i w:val="0"/>
      <w:color w:val="000000"/>
      <w:sz w:val="26"/>
      <w:szCs w:val="26"/>
      <w:lang w:val="zh-CN" w:eastAsia="zh-CN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="黑体" w:eastAsia="黑体" w:hAnsi="黑体" w:cs="黑体" w:hint="eastAsia"/>
      <w:b/>
      <w:bCs/>
      <w:i w:val="0"/>
      <w:color w:val="000000"/>
      <w:lang w:val="zh-CN" w:eastAsia="zh-CN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spacing w:line="700" w:lineRule="exact"/>
      <w:contextualSpacing/>
    </w:pPr>
    <w:rPr>
      <w:rFonts w:ascii="黑体" w:eastAsia="黑体" w:hAnsi="黑体" w:cs="黑体"/>
      <w:b/>
      <w:bCs/>
      <w:sz w:val="46"/>
      <w:szCs w:val="46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="宋体" w:eastAsia="宋体" w:hAnsi="宋体" w:cs="宋体" w:hint="eastAsia"/>
      <w:i w:val="0"/>
      <w:color w:val="000000"/>
      <w:sz w:val="52"/>
      <w:szCs w:val="52"/>
      <w:lang w:val="zh-CN" w:eastAsia="zh-CN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="宋体" w:eastAsia="宋体" w:hAnsi="宋体" w:cs="宋体"/>
      <w:iCs/>
      <w:sz w:val="22"/>
      <w:szCs w:val="22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="宋体" w:eastAsia="宋体" w:hAnsi="宋体" w:cs="宋体" w:hint="eastAsia"/>
      <w:i w:val="0"/>
      <w:iCs/>
      <w:color w:val="000000"/>
      <w:sz w:val="24"/>
      <w:szCs w:val="24"/>
      <w:lang w:val="zh-CN" w:eastAsia="zh-CN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正文文本 字符"/>
    <w:basedOn w:val="a2"/>
    <w:link w:val="af"/>
    <w:uiPriority w:val="99"/>
    <w:rsid w:val="00AA1D8D"/>
    <w:rPr>
      <w:rFonts w:ascii="宋体" w:eastAsia="宋体" w:hAnsi="宋体" w:cs="宋体" w:hint="eastAsia"/>
      <w:i w:val="0"/>
      <w:color w:val="000000"/>
      <w:lang w:val="zh-CN" w:eastAsia="zh-CN"/>
    </w:rPr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  <w:rPr>
      <w:rFonts w:ascii="宋体" w:eastAsia="宋体" w:hAnsi="宋体" w:cs="宋体" w:hint="eastAsia"/>
      <w:i w:val="0"/>
      <w:color w:val="000000"/>
      <w:lang w:val="zh-CN" w:eastAsia="zh-CN"/>
    </w:rPr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rFonts w:ascii="宋体" w:eastAsia="宋体" w:hAnsi="宋体" w:cs="宋体" w:hint="eastAsia"/>
      <w:i w:val="0"/>
      <w:color w:val="000000"/>
      <w:sz w:val="16"/>
      <w:szCs w:val="16"/>
      <w:lang w:val="zh-CN" w:eastAsia="zh-CN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宋体" w:eastAsia="宋体" w:hAnsi="宋体" w:cs="宋体" w:hint="eastAsia"/>
      <w:i w:val="0"/>
      <w:color w:val="000000"/>
      <w:sz w:val="20"/>
      <w:szCs w:val="20"/>
      <w:lang w:val="zh-CN" w:eastAsia="zh-CN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Cs/>
    </w:rPr>
  </w:style>
  <w:style w:type="character" w:customStyle="1" w:styleId="af6">
    <w:name w:val="引用 字符"/>
    <w:basedOn w:val="a2"/>
    <w:link w:val="af5"/>
    <w:uiPriority w:val="29"/>
    <w:rsid w:val="00FC693F"/>
    <w:rPr>
      <w:rFonts w:ascii="宋体" w:eastAsia="宋体" w:hAnsi="宋体" w:cs="宋体" w:hint="eastAsia"/>
      <w:i w:val="0"/>
      <w:iCs/>
      <w:color w:val="000000"/>
      <w:lang w:val="zh-CN" w:eastAsia="zh-CN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="黑体" w:eastAsia="黑体" w:hAnsi="黑体" w:cs="黑体" w:hint="eastAsia"/>
      <w:b/>
      <w:bCs/>
      <w:i w:val="0"/>
      <w:iCs/>
      <w:color w:val="000000"/>
      <w:lang w:val="zh-CN" w:eastAsia="zh-CN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="宋体" w:eastAsia="宋体" w:hAnsi="宋体" w:cs="宋体" w:hint="eastAsia"/>
      <w:i w:val="0"/>
      <w:color w:val="000000"/>
      <w:lang w:val="zh-CN" w:eastAsia="zh-CN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="宋体" w:eastAsia="宋体" w:hAnsi="宋体" w:cs="宋体" w:hint="eastAsia"/>
      <w:i w:val="0"/>
      <w:iCs/>
      <w:color w:val="000000"/>
      <w:lang w:val="zh-CN" w:eastAsia="zh-CN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="宋体" w:eastAsia="宋体" w:hAnsi="宋体" w:cs="宋体" w:hint="eastAsia"/>
      <w:i w:val="0"/>
      <w:iCs/>
      <w:color w:val="000000"/>
      <w:lang w:val="zh-CN" w:eastAsia="zh-CN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="宋体" w:eastAsia="宋体" w:hAnsi="宋体" w:cs="宋体" w:hint="eastAsia"/>
      <w:i w:val="0"/>
      <w:color w:val="000000"/>
      <w:sz w:val="20"/>
      <w:szCs w:val="20"/>
      <w:lang w:val="zh-CN" w:eastAsia="zh-CN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="宋体" w:eastAsia="宋体" w:hAnsi="宋体" w:cs="宋体" w:hint="eastAsia"/>
      <w:i w:val="0"/>
      <w:iCs/>
      <w:color w:val="000000"/>
      <w:sz w:val="20"/>
      <w:szCs w:val="20"/>
      <w:lang w:val="zh-CN" w:eastAsia="zh-CN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rFonts w:ascii="黑体" w:eastAsia="黑体" w:hAnsi="黑体" w:cs="黑体" w:hint="eastAsia"/>
      <w:b/>
      <w:bCs/>
      <w:i w:val="0"/>
      <w:color w:val="000000"/>
      <w:lang w:val="zh-CN" w:eastAsia="zh-CN"/>
    </w:rPr>
  </w:style>
  <w:style w:type="character" w:styleId="af9">
    <w:name w:val="Emphasis"/>
    <w:basedOn w:val="a2"/>
    <w:uiPriority w:val="20"/>
    <w:qFormat/>
    <w:rsid w:val="00FC693F"/>
    <w:rPr>
      <w:rFonts w:ascii="宋体" w:eastAsia="宋体" w:hAnsi="宋体" w:cs="宋体" w:hint="eastAsia"/>
      <w:i w:val="0"/>
      <w:iCs/>
      <w:color w:val="000000"/>
      <w:lang w:val="zh-CN" w:eastAsia="zh-CN"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spacing w:before="200" w:after="280"/>
      <w:ind w:left="936" w:right="936"/>
    </w:pPr>
    <w:rPr>
      <w:b/>
      <w:bCs/>
      <w:iCs/>
    </w:rPr>
  </w:style>
  <w:style w:type="character" w:customStyle="1" w:styleId="afb">
    <w:name w:val="明显引用 字符"/>
    <w:basedOn w:val="a2"/>
    <w:link w:val="afa"/>
    <w:uiPriority w:val="30"/>
    <w:rsid w:val="00FC693F"/>
    <w:rPr>
      <w:rFonts w:ascii="黑体" w:eastAsia="黑体" w:hAnsi="黑体" w:cs="黑体" w:hint="eastAsia"/>
      <w:b/>
      <w:bCs/>
      <w:i w:val="0"/>
      <w:iCs/>
      <w:color w:val="000000"/>
      <w:lang w:val="zh-CN" w:eastAsia="zh-CN"/>
    </w:rPr>
  </w:style>
  <w:style w:type="character" w:styleId="afc">
    <w:name w:val="Subtle Emphasis"/>
    <w:basedOn w:val="a2"/>
    <w:uiPriority w:val="19"/>
    <w:qFormat/>
    <w:rsid w:val="00FC693F"/>
    <w:rPr>
      <w:rFonts w:ascii="宋体" w:eastAsia="宋体" w:hAnsi="宋体" w:cs="宋体" w:hint="eastAsia"/>
      <w:i w:val="0"/>
      <w:iCs/>
      <w:color w:val="000000"/>
      <w:lang w:val="zh-CN" w:eastAsia="zh-CN"/>
    </w:rPr>
  </w:style>
  <w:style w:type="character" w:styleId="afd">
    <w:name w:val="Intense Emphasis"/>
    <w:basedOn w:val="a2"/>
    <w:uiPriority w:val="21"/>
    <w:qFormat/>
    <w:rsid w:val="00FC693F"/>
    <w:rPr>
      <w:rFonts w:ascii="黑体" w:eastAsia="黑体" w:hAnsi="黑体" w:cs="黑体" w:hint="eastAsia"/>
      <w:b/>
      <w:bCs/>
      <w:i w:val="0"/>
      <w:iCs/>
      <w:color w:val="000000"/>
      <w:lang w:val="zh-CN" w:eastAsia="zh-CN"/>
    </w:rPr>
  </w:style>
  <w:style w:type="character" w:styleId="afe">
    <w:name w:val="Subtle Reference"/>
    <w:basedOn w:val="a2"/>
    <w:uiPriority w:val="31"/>
    <w:qFormat/>
    <w:rsid w:val="00FC693F"/>
    <w:rPr>
      <w:rFonts w:ascii="宋体" w:eastAsia="宋体" w:hAnsi="宋体" w:cs="宋体" w:hint="eastAsia"/>
      <w:i w:val="0"/>
      <w:smallCaps/>
      <w:color w:val="000000"/>
      <w:u w:val="single"/>
      <w:lang w:val="zh-CN" w:eastAsia="zh-CN"/>
    </w:rPr>
  </w:style>
  <w:style w:type="character" w:styleId="aff">
    <w:name w:val="Intense Reference"/>
    <w:basedOn w:val="a2"/>
    <w:uiPriority w:val="32"/>
    <w:qFormat/>
    <w:rsid w:val="00FC693F"/>
    <w:rPr>
      <w:rFonts w:ascii="黑体" w:eastAsia="黑体" w:hAnsi="黑体" w:cs="黑体" w:hint="eastAsia"/>
      <w:b/>
      <w:bCs/>
      <w:i w:val="0"/>
      <w:smallCaps/>
      <w:color w:val="000000"/>
      <w:u w:val="single"/>
      <w:lang w:val="zh-CN" w:eastAsia="zh-CN"/>
    </w:rPr>
  </w:style>
  <w:style w:type="character" w:styleId="aff0">
    <w:name w:val="Book Title"/>
    <w:basedOn w:val="a2"/>
    <w:uiPriority w:val="33"/>
    <w:qFormat/>
    <w:rsid w:val="00FC693F"/>
    <w:rPr>
      <w:rFonts w:ascii="黑体" w:eastAsia="黑体" w:hAnsi="黑体" w:cs="黑体" w:hint="eastAsia"/>
      <w:b/>
      <w:bCs/>
      <w:i w:val="0"/>
      <w:smallCaps/>
      <w:color w:val="000000"/>
      <w:lang w:val="zh-CN" w:eastAsia="zh-CN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  <w:rPr>
      <w:rFonts w:ascii="宋体" w:eastAsia="宋体" w:hAnsi="宋体" w:cs="宋体"/>
    </w:r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26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29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28" Type="http://schemas.openxmlformats.org/officeDocument/2006/relationships/footer" Target="footer2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27" Type="http://schemas.openxmlformats.org/officeDocument/2006/relationships/footer" Target="footer1.xml"/><Relationship Id="rId30" Type="http://schemas.openxmlformats.org/officeDocument/2006/relationships/footer" Target="footer3.xml"/><Relationship Id="rIdNewsletterSource1" Type="http://schemas.openxmlformats.org/officeDocument/2006/relationships/hyperlink" Target="https://www.nhc.gov.cn/sps/c100087/202610/8830d962fd824c36bdfe0e8a94369b8b.shtml" TargetMode="External"/><Relationship Id="rIdNewsletterSource2" Type="http://schemas.openxmlformats.org/officeDocument/2006/relationships/hyperlink" Target="https://webgate.ec.europa.eu/rasff-window/screen/notification/881011" TargetMode="External"/><Relationship Id="rIdNewsletterSource3" Type="http://schemas.openxmlformats.org/officeDocument/2006/relationships/hyperlink" Target="https://webgate.ec.europa.eu/rasff-window/screen/notification/88115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黑体"/>
        <a:ea typeface="黑体"/>
        <a:cs typeface="黑体"/>
        <a:font script="Jpan" typeface="黑体"/>
        <a:font script="Hang" typeface="黑体"/>
        <a:font script="Hans" typeface="黑体"/>
        <a:font script="Hant" typeface="黑体"/>
        <a:font script="Arab" typeface="黑体"/>
        <a:font script="Hebr" typeface="黑体"/>
        <a:font script="Thai" typeface="黑体"/>
        <a:font script="Ethi" typeface="黑体"/>
        <a:font script="Beng" typeface="黑体"/>
        <a:font script="Gujr" typeface="黑体"/>
        <a:font script="Khmr" typeface="黑体"/>
        <a:font script="Knda" typeface="黑体"/>
        <a:font script="Guru" typeface="黑体"/>
        <a:font script="Cans" typeface="黑体"/>
        <a:font script="Cher" typeface="黑体"/>
        <a:font script="Yiii" typeface="黑体"/>
        <a:font script="Tibt" typeface="黑体"/>
        <a:font script="Thaa" typeface="黑体"/>
        <a:font script="Deva" typeface="黑体"/>
        <a:font script="Telu" typeface="黑体"/>
        <a:font script="Taml" typeface="黑体"/>
        <a:font script="Syrc" typeface="黑体"/>
        <a:font script="Orya" typeface="黑体"/>
        <a:font script="Mlym" typeface="黑体"/>
        <a:font script="Laoo" typeface="黑体"/>
        <a:font script="Sinh" typeface="黑体"/>
        <a:font script="Mong" typeface="黑体"/>
        <a:font script="Viet" typeface="黑体"/>
        <a:font script="Uigh" typeface="黑体"/>
        <a:font script="Geor" typeface="黑体"/>
      </a:majorFont>
      <a:minorFont>
        <a:latin typeface="宋体"/>
        <a:ea typeface="宋体"/>
        <a:cs typeface="宋体"/>
        <a:font script="Jpan" typeface="宋体"/>
        <a:font script="Hang" typeface="宋体"/>
        <a:font script="Hans" typeface="宋体"/>
        <a:font script="Hant" typeface="宋体"/>
        <a:font script="Arab" typeface="宋体"/>
        <a:font script="Hebr" typeface="宋体"/>
        <a:font script="Thai" typeface="宋体"/>
        <a:font script="Ethi" typeface="宋体"/>
        <a:font script="Beng" typeface="宋体"/>
        <a:font script="Gujr" typeface="宋体"/>
        <a:font script="Khmr" typeface="宋体"/>
        <a:font script="Knda" typeface="宋体"/>
        <a:font script="Guru" typeface="宋体"/>
        <a:font script="Cans" typeface="宋体"/>
        <a:font script="Cher" typeface="宋体"/>
        <a:font script="Yiii" typeface="宋体"/>
        <a:font script="Tibt" typeface="宋体"/>
        <a:font script="Thaa" typeface="宋体"/>
        <a:font script="Deva" typeface="宋体"/>
        <a:font script="Telu" typeface="宋体"/>
        <a:font script="Taml" typeface="宋体"/>
        <a:font script="Syrc" typeface="宋体"/>
        <a:font script="Orya" typeface="宋体"/>
        <a:font script="Mlym" typeface="宋体"/>
        <a:font script="Laoo" typeface="宋体"/>
        <a:font script="Sinh" typeface="宋体"/>
        <a:font script="Mong" typeface="宋体"/>
        <a:font script="Viet" typeface="宋体"/>
        <a:font script="Uigh" typeface="宋体"/>
        <a:font script="Geor" typeface="宋体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683</Words>
  <Characters>3895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4569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食品接触材料行业资讯周报（内部测试版）</dc:title>
  <dc:subject>2026年10月16日16:30至10月23日16:30（北京时间）</dc:subject>
  <dc:creator/>
  <cp:keywords/>
  <dc:description/>
  <cp:lastModifiedBy/>
  <cp:revision>1</cp:revision>
  <dcterms:created xsi:type="dcterms:W3CDTF">2026-10-25T05:09:22Z</dcterms:created>
  <dcterms:modified xsi:type="dcterms:W3CDTF">2026-10-25T05:09:22Z</dcterms:modified>
  <cp:category/>
</cp:coreProperties>
</file>