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2026年10月23日16:30至10月30日16:30（北京时间）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法国通报列铝迁移11.1 mg/kg、比较限值5 mg/kg，风险等级为严重；已采取撤市与消费者召回。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汤勺和锅铲的MDA及其他芳香胺合量分别列报；保留原始µg/L单位，不混算限值或超标倍数。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本期精选2条欧盟通报，关注铝水瓶铝迁移、厨房用具初级芳香胺迁移及检测判读。实际编制日期为2026年11月1日，保留原周五16:30七天窗口。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二、监督抽查、召回与质量风险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铝水瓶铝迁移通报：结果与目标市场判定依据分别核对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2026-10-29｜欧盟委员会RASFF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法国10月29日核验的RASFF通报2026.9639涉及中国来源铝水瓶，类型为“供关注的信息通报”，官方风险判断为“严重”。原记录列铝迁移结果11.1 mg/kg、比较限值5 mg/kg；措施为撤市及消费者召回，记录显示未向其他成员国分销。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采样日期为5月15日，与本周核验日期分别表达。公开记录没有给出完整迁移试验条件和比较限值的具体适用条款，不能仅凭数值直接推定违反中国食品安全国家标准。建议品牌商和供应商核对批次流向、内表面处理或涂层状况、预期接触食品与重复使用条件，实验室确认目标市场依据、方法适用范围和判定口径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欧盟委员会RASFF｜2026.9639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三、迁移物、NIAS与检测评价技术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厨房用具初级芳香胺迁移：单体结果与合量结果分开表达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2026-10-27｜欧盟委员会RASFF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德国10月27日核验的RASFF通报2026.9542涉及中国来源、经德国流通的厨房用具套装，类型为“供跟进的信息通报”，官方风险判断为“潜在风险”，依据为市场官方检查。采样日期为8月3日，本刊按本周核验节点收录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汤勺的MDA迁移结果为15700±4700 µg/L，锅铲为19500±5800 µg/L。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另列2,4′-二氨基二苯甲烷、苯胺与2-氯苯胺合量。汤勺结果为775±237 µg/L；锅铲为730±223 µg/L。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各结果字段显示比较限值10 µg/L。记录的文字风险说明另有MDA“超过5000倍”表述，与所列数值及比较限值不能直接对应，因此不据此计算或转述超标倍数，也不把该字段当作各单体通用法定限值。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相关企业对照配方及着色体系、产品批次和原始检测报告，确认单体与合量评价、试验介质、时间温度、定量能力及适用条款。实验室报告应保留单位和测量不确定度，避免将µg/L直接改写为µg/kg。本期不纳入10月30日更新中无法判定闭窗归属的后续措施，也不据单批次通报推断全部同类产品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欧盟委员会RASFF｜2026.9542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保留六栏监测框架，无合格新增不以旧闻补位。两个卫健委栏目独立核至窗口下界；24个计划来源均保留处置记录，部分来源局部核验、访问失败或冷却，不作全面覆盖声明。RASFF复用11月1日合格共享快照及原始明细，按安全内窗核验节点收录，采样日期另列，闭窗归属未明的后续措施不纳入。BPAF/BPA字段矛盾及公开状态待核记录未选；欧盟塑料法规修订原文访问受限，授权和实施细节待核，不将未入选等同没有更新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ebgate.ec.europa.eu/rasff-window/screen/notification/883344" TargetMode="External"/><Relationship Id="rIdNewsletterSource2" Type="http://schemas.openxmlformats.org/officeDocument/2006/relationships/hyperlink" Target="https://webgate.ec.europa.eu/rasff-window/screen/notification/8818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2026年10月23日16:30至10月30日16:30（北京时间）</dc:subject>
  <dc:creator/>
  <cp:keywords/>
  <dc:description/>
  <cp:lastModifiedBy/>
  <cp:revision>1</cp:revision>
  <dcterms:created xsi:type="dcterms:W3CDTF">2026-11-01T05:46:03Z</dcterms:created>
  <dcterms:modified xsi:type="dcterms:W3CDTF">2026-11-01T05:46:03Z</dcterms:modified>
  <cp:category/>
</cp:coreProperties>
</file>