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14E5A" w14:textId="5E9DA155" w:rsidR="006C3F59" w:rsidRDefault="006C3F59" w:rsidP="006C3F59">
      <w:pPr>
        <w:shd w:val="clear" w:color="auto" w:fill="FFFFFF"/>
        <w:spacing w:before="0"/>
        <w:jc w:val="center"/>
        <w:outlineLvl w:val="0"/>
        <w:rPr>
          <w:rFonts w:ascii="黑体" w:eastAsia="黑体" w:hAnsi="黑体" w:cs="黑体" w:hint="eastAsia"/>
          <w:b/>
          <w:bCs/>
          <w:color w:val="000000"/>
          <w:kern w:val="36"/>
          <w:sz w:val="24"/>
          <w:lang w:val="en-US" w:eastAsia="zh-CN"/>
        </w:rPr>
      </w:pPr>
      <w:r w:rsidRPr="006C3F59">
        <w:rPr>
          <w:rFonts w:ascii="黑体" w:eastAsia="黑体" w:hAnsi="黑体" w:cs="黑体"/>
          <w:b/>
          <w:bCs/>
          <w:noProof/>
          <w:color w:val="000000"/>
          <w:kern w:val="36"/>
          <w:sz w:val="24"/>
          <w:lang w:eastAsia="zh-CN"/>
        </w:rPr>
        <w:drawing>
          <wp:inline distT="0" distB="0" distL="0" distR="0" wp14:anchorId="60431849" wp14:editId="0907A3A1">
            <wp:extent cx="3695700" cy="2428875"/>
            <wp:effectExtent l="0" t="0" r="0" b="9525"/>
            <wp:docPr id="5" name="Picture 4">
              <a:extLst xmlns:a="http://schemas.openxmlformats.org/drawingml/2006/main">
                <a:ext uri="{FF2B5EF4-FFF2-40B4-BE49-F238E27FC236}">
                  <a16:creationId xmlns:a16="http://schemas.microsoft.com/office/drawing/2014/main" id="{F7F566E8-9032-4A98-922B-EE5BC6E0C3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7F566E8-9032-4A98-922B-EE5BC6E0C340}"/>
                        </a:ext>
                      </a:extLst>
                    </pic:cNvPr>
                    <pic:cNvPicPr>
                      <a:picLocks noChangeAspect="1"/>
                    </pic:cNvPicPr>
                  </pic:nvPicPr>
                  <pic:blipFill>
                    <a:blip r:embed="rId7"/>
                    <a:stretch>
                      <a:fillRect/>
                    </a:stretch>
                  </pic:blipFill>
                  <pic:spPr>
                    <a:xfrm>
                      <a:off x="0" y="0"/>
                      <a:ext cx="3695700" cy="2428875"/>
                    </a:xfrm>
                    <a:prstGeom prst="rect">
                      <a:avLst/>
                    </a:prstGeom>
                    <a:ln>
                      <a:noFill/>
                    </a:ln>
                    <a:effectLst>
                      <a:softEdge rad="112500"/>
                    </a:effectLst>
                  </pic:spPr>
                </pic:pic>
              </a:graphicData>
            </a:graphic>
          </wp:inline>
        </w:drawing>
      </w:r>
    </w:p>
    <w:p>
      <w:pPr>
        <w:keepNext w:val="0"/>
        <w:spacing w:before="0" w:after="80" w:line="276" w:lineRule="auto"/>
        <w:jc w:val="center"/>
      </w:pPr>
      <w:r>
        <w:rPr>
          <w:rFonts w:ascii="黑体" w:hAnsi="黑体" w:eastAsia="黑体" w:cs="黑体"/>
          <w:b/>
          <w:sz w:val="40"/>
        </w:rPr>
        <w:t>宠物食品与动物饲料行业周报</w:t>
      </w:r>
    </w:p>
    <w:p>
      <w:pPr>
        <w:keepNext w:val="0"/>
        <w:spacing w:before="0" w:after="160" w:line="276" w:lineRule="auto"/>
        <w:jc w:val="center"/>
      </w:pPr>
      <w:r>
        <w:rPr>
          <w:rFonts w:ascii="黑体" w:hAnsi="黑体" w:eastAsia="黑体" w:cs="黑体"/>
          <w:b/>
          <w:sz w:val="24"/>
        </w:rPr>
        <w:t>2026-09-05 至 2026-09-11</w:t>
      </w:r>
    </w:p>
    <w:p>
      <w:pPr>
        <w:keepNext w:val="0"/>
        <w:spacing w:before="0" w:after="160" w:line="276" w:lineRule="auto"/>
      </w:pPr>
      <w:r>
        <w:rPr>
          <w:rFonts w:ascii="宋体" w:hAnsi="宋体" w:eastAsia="宋体" w:cs="宋体"/>
          <w:b w:val="0"/>
          <w:sz w:val="19"/>
        </w:rPr>
        <w:t>本期仅纳入监管验证日、官方发布日期或来源披露日严格落在 2026-09-05 至 2026-09-11 的事项。官方监管、企业公告和同行评议资料按证据性质分层表述。</w:t>
      </w:r>
    </w:p>
    <w:p>
      <w:pPr>
        <w:keepNext/>
        <w:spacing w:before="60" w:after="80" w:line="276" w:lineRule="auto"/>
      </w:pPr>
      <w:r>
        <w:rPr>
          <w:rFonts w:ascii="黑体" w:hAnsi="黑体" w:eastAsia="黑体" w:cs="黑体"/>
          <w:b/>
          <w:sz w:val="30"/>
        </w:rPr>
        <w:t>一、本周重点</w:t>
      </w:r>
    </w:p>
    <w:p>
      <w:pPr>
        <w:keepNext w:val="0"/>
        <w:spacing w:before="0" w:after="40" w:line="276" w:lineRule="auto"/>
      </w:pPr>
      <w:r>
        <w:rPr>
          <w:rFonts w:ascii="宋体" w:hAnsi="宋体" w:eastAsia="宋体" w:cs="宋体"/>
          <w:b w:val="0"/>
          <w:sz w:val="20"/>
        </w:rPr>
        <w:t>欧盟 RASFF 于 9 月 9 日验证一项德国来源仔猪补充饲料事件：维生素 A、维生素 D 和硒含量过高，并使用未获授权的甜味剂糖精钠（E954）。产品分销至 7 个欧盟国家，已采取市场撤回。</w:t>
      </w:r>
    </w:p>
    <w:p>
      <w:pPr>
        <w:keepNext w:val="0"/>
        <w:spacing w:before="0" w:after="40" w:line="276" w:lineRule="auto"/>
      </w:pPr>
      <w:r>
        <w:rPr>
          <w:rFonts w:ascii="宋体" w:hAnsi="宋体" w:eastAsia="宋体" w:cs="宋体"/>
          <w:b w:val="0"/>
          <w:sz w:val="20"/>
        </w:rPr>
        <w:t>美国 FDA 发布 Fi 两款犬用补充剂的自愿召回：供应给制造商的一种原料可能受 Salmonella 污染。两批产品经品牌官网、Amazon 和 Chewy 销售，制造商已暂停生产。</w:t>
      </w:r>
    </w:p>
    <w:p>
      <w:pPr>
        <w:keepNext w:val="0"/>
        <w:spacing w:before="0" w:after="40" w:line="276" w:lineRule="auto"/>
      </w:pPr>
      <w:r>
        <w:rPr>
          <w:rFonts w:ascii="宋体" w:hAnsi="宋体" w:eastAsia="宋体" w:cs="宋体"/>
          <w:b w:val="0"/>
          <w:sz w:val="20"/>
        </w:rPr>
        <w:t>欧盟本周新增蜜蜂用 EDTA 钼螯合物饲料添加剂授权，并更新 HPAI 紧急措施及美国禽类产品准入清单。适用判断必须同时核对目标动物、剂量、采蜜期限制、原产分区和生产日期。</w:t>
      </w:r>
    </w:p>
    <w:p>
      <w:pPr>
        <w:keepNext w:val="0"/>
        <w:spacing w:before="0" w:after="40" w:line="276" w:lineRule="auto"/>
      </w:pPr>
      <w:r>
        <w:rPr>
          <w:rFonts w:ascii="宋体" w:hAnsi="宋体" w:eastAsia="宋体" w:cs="宋体"/>
          <w:b w:val="0"/>
          <w:sz w:val="20"/>
        </w:rPr>
        <w:t>产业端，雀巢宣布投资 1.57 亿瑞士法郎扩建泰国罗勇宠物食品工厂；技术端，一篇培养肉安全综述集中梳理微生物、内源病毒、过敏原、残留生长因子和营养组成风险。中国五条来源线本周未见达到客户行动阈值的新增事项。</w:t>
      </w:r>
    </w:p>
    <w:p>
      <w:r>
        <w:br w:type="page"/>
      </w:r>
    </w:p>
    <w:p>
      <w:pPr>
        <w:keepNext/>
        <w:spacing w:before="60" w:after="80" w:line="276" w:lineRule="auto"/>
      </w:pPr>
      <w:r>
        <w:rPr>
          <w:rFonts w:ascii="黑体" w:hAnsi="黑体" w:eastAsia="黑体" w:cs="黑体"/>
          <w:b/>
          <w:sz w:val="30"/>
        </w:rPr>
        <w:t>二、本周风险与行动快表</w:t>
      </w:r>
    </w:p>
    <w:tbl>
      <w:tblPr>
        <w:tblStyle w:val="afb"/>
        <w:tblW w:type="dxa" w:w="9677"/>
        <w:jc w:val="center"/>
        <w:tblLayout w:type="fixed"/>
        <w:tblLook w:firstColumn="1" w:firstRow="1" w:lastColumn="0" w:lastRow="0" w:noHBand="0" w:noVBand="1" w:val="04A0"/>
      </w:tblPr>
      <w:tblGrid>
        <w:gridCol w:w="835"/>
        <w:gridCol w:w="1613"/>
        <w:gridCol w:w="1296"/>
        <w:gridCol w:w="2462"/>
        <w:gridCol w:w="792"/>
        <w:gridCol w:w="2678"/>
      </w:tblGrid>
      <w:tr>
        <w:trPr>
          <w:tblHeader w:val="true"/>
          <w:cantSplit/>
        </w:trPr>
        <w:tc>
          <w:tcPr>
            <w:tcW w:type="dxa" w:w="835"/>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日期</w:t>
            </w:r>
          </w:p>
        </w:tc>
        <w:tc>
          <w:tcPr>
            <w:tcW w:type="dxa" w:w="1613"/>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来源/编号</w:t>
            </w:r>
          </w:p>
        </w:tc>
        <w:tc>
          <w:tcPr>
            <w:tcW w:type="dxa" w:w="1296"/>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产品/对象</w:t>
            </w:r>
          </w:p>
        </w:tc>
        <w:tc>
          <w:tcPr>
            <w:tcW w:type="dxa" w:w="246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事项</w:t>
            </w:r>
          </w:p>
        </w:tc>
        <w:tc>
          <w:tcPr>
            <w:tcW w:type="dxa" w:w="79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优先级</w:t>
            </w:r>
          </w:p>
        </w:tc>
        <w:tc>
          <w:tcPr>
            <w:tcW w:type="dxa" w:w="2678"/>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本周建议动作</w:t>
            </w:r>
          </w:p>
        </w:tc>
      </w:tr>
      <w:tr>
        <w:trPr>
          <w:cantSplit/>
        </w:trPr>
        <w:tc>
          <w:tcPr>
            <w:tcW w:type="dxa" w:w="835"/>
            <w:vAlign w:val="center"/>
            <w:tcMar>
              <w:top w:w="75" w:type="dxa"/>
              <w:start w:w="75" w:type="dxa"/>
              <w:bottom w:w="75" w:type="dxa"/>
              <w:end w:w="75" w:type="dxa"/>
            </w:tcMar>
          </w:tcPr>
          <w:p>
            <w:pPr>
              <w:spacing w:after="0" w:line="247" w:lineRule="auto"/>
              <w:jc w:val="center"/>
            </w:pPr>
            <w:r>
              <w:t>09-09</w:t>
            </w:r>
          </w:p>
        </w:tc>
        <w:tc>
          <w:tcPr>
            <w:tcW w:type="dxa" w:w="1613"/>
            <w:vAlign w:val="center"/>
            <w:tcMar>
              <w:top w:w="75" w:type="dxa"/>
              <w:start w:w="75" w:type="dxa"/>
              <w:bottom w:w="75" w:type="dxa"/>
              <w:end w:w="75" w:type="dxa"/>
            </w:tcMar>
          </w:tcPr>
          <w:p>
            <w:pPr>
              <w:spacing w:after="0" w:line="247" w:lineRule="auto"/>
            </w:pPr>
            <w:r>
              <w:t>RASFF</w:t>
            </w:r>
            <w:r>
              <w:br/>
              <w:t>2026.7973</w:t>
            </w:r>
          </w:p>
        </w:tc>
        <w:tc>
          <w:tcPr>
            <w:tcW w:type="dxa" w:w="1296"/>
            <w:vAlign w:val="center"/>
            <w:tcMar>
              <w:top w:w="75" w:type="dxa"/>
              <w:start w:w="75" w:type="dxa"/>
              <w:bottom w:w="75" w:type="dxa"/>
              <w:end w:w="75" w:type="dxa"/>
            </w:tcMar>
          </w:tcPr>
          <w:p>
            <w:pPr>
              <w:spacing w:after="0" w:line="247" w:lineRule="auto"/>
            </w:pPr>
            <w:r>
              <w:t>德国来源</w:t>
            </w:r>
            <w:r>
              <w:br/>
              <w:t>仔猪补充饲料</w:t>
            </w:r>
          </w:p>
        </w:tc>
        <w:tc>
          <w:tcPr>
            <w:tcW w:type="dxa" w:w="2462"/>
            <w:vAlign w:val="center"/>
            <w:tcMar>
              <w:top w:w="75" w:type="dxa"/>
              <w:start w:w="75" w:type="dxa"/>
              <w:bottom w:w="75" w:type="dxa"/>
              <w:end w:w="75" w:type="dxa"/>
            </w:tcMar>
          </w:tcPr>
          <w:p>
            <w:pPr>
              <w:spacing w:after="0" w:line="247" w:lineRule="auto"/>
            </w:pPr>
            <w:r>
              <w:t>维生素 A、D、硒过高；含未授权糖精钠 E954；已分销多国并撤回。</w:t>
            </w:r>
          </w:p>
        </w:tc>
        <w:tc>
          <w:tcPr>
            <w:tcW w:type="dxa" w:w="792"/>
            <w:vAlign w:val="center"/>
            <w:tcMar>
              <w:top w:w="75" w:type="dxa"/>
              <w:start w:w="75" w:type="dxa"/>
              <w:bottom w:w="75" w:type="dxa"/>
              <w:end w:w="75" w:type="dxa"/>
            </w:tcMar>
          </w:tcPr>
          <w:p>
            <w:pPr>
              <w:spacing w:after="0" w:line="247" w:lineRule="auto"/>
              <w:jc w:val="center"/>
            </w:pPr>
            <w:r>
              <w:t>高</w:t>
            </w:r>
          </w:p>
        </w:tc>
        <w:tc>
          <w:tcPr>
            <w:tcW w:type="dxa" w:w="2678"/>
            <w:vAlign w:val="center"/>
            <w:tcMar>
              <w:top w:w="75" w:type="dxa"/>
              <w:start w:w="75" w:type="dxa"/>
              <w:bottom w:w="75" w:type="dxa"/>
              <w:end w:w="75" w:type="dxa"/>
            </w:tcMar>
          </w:tcPr>
          <w:p>
            <w:pPr>
              <w:spacing w:after="0" w:line="247" w:lineRule="auto"/>
            </w:pPr>
            <w:r>
              <w:t>核对营养上限、添加剂授权、目标动物和跨国库存去向。</w:t>
            </w:r>
          </w:p>
        </w:tc>
      </w:tr>
      <w:tr>
        <w:trPr>
          <w:cantSplit/>
        </w:trPr>
        <w:tc>
          <w:tcPr>
            <w:tcW w:type="dxa" w:w="835"/>
            <w:vAlign w:val="center"/>
            <w:shd w:fill="F2F2F2"/>
            <w:tcMar>
              <w:top w:w="75" w:type="dxa"/>
              <w:start w:w="75" w:type="dxa"/>
              <w:bottom w:w="75" w:type="dxa"/>
              <w:end w:w="75" w:type="dxa"/>
            </w:tcMar>
          </w:tcPr>
          <w:p>
            <w:pPr>
              <w:spacing w:after="0" w:line="247" w:lineRule="auto"/>
              <w:jc w:val="center"/>
            </w:pPr>
            <w:r>
              <w:t>09-08</w:t>
            </w:r>
          </w:p>
        </w:tc>
        <w:tc>
          <w:tcPr>
            <w:tcW w:type="dxa" w:w="1613"/>
            <w:vAlign w:val="center"/>
            <w:shd w:fill="F2F2F2"/>
            <w:tcMar>
              <w:top w:w="75" w:type="dxa"/>
              <w:start w:w="75" w:type="dxa"/>
              <w:bottom w:w="75" w:type="dxa"/>
              <w:end w:w="75" w:type="dxa"/>
            </w:tcMar>
          </w:tcPr>
          <w:p>
            <w:pPr>
              <w:spacing w:after="0" w:line="247" w:lineRule="auto"/>
            </w:pPr>
            <w:r>
              <w:t>FDA</w:t>
            </w:r>
            <w:r>
              <w:br/>
              <w:t>Fi 犬用补充剂</w:t>
            </w:r>
          </w:p>
        </w:tc>
        <w:tc>
          <w:tcPr>
            <w:tcW w:type="dxa" w:w="1296"/>
            <w:vAlign w:val="center"/>
            <w:shd w:fill="F2F2F2"/>
            <w:tcMar>
              <w:top w:w="75" w:type="dxa"/>
              <w:start w:w="75" w:type="dxa"/>
              <w:bottom w:w="75" w:type="dxa"/>
              <w:end w:w="75" w:type="dxa"/>
            </w:tcMar>
          </w:tcPr>
          <w:p>
            <w:pPr>
              <w:spacing w:after="0" w:line="247" w:lineRule="auto"/>
            </w:pPr>
            <w:r>
              <w:t>Fi Calming /</w:t>
            </w:r>
            <w:r>
              <w:br/>
              <w:t>Fi 8-in-1</w:t>
            </w:r>
          </w:p>
        </w:tc>
        <w:tc>
          <w:tcPr>
            <w:tcW w:type="dxa" w:w="2462"/>
            <w:vAlign w:val="center"/>
            <w:shd w:fill="F2F2F2"/>
            <w:tcMar>
              <w:top w:w="75" w:type="dxa"/>
              <w:start w:w="75" w:type="dxa"/>
              <w:bottom w:w="75" w:type="dxa"/>
              <w:end w:w="75" w:type="dxa"/>
            </w:tcMar>
          </w:tcPr>
          <w:p>
            <w:pPr>
              <w:spacing w:after="0" w:line="247" w:lineRule="auto"/>
            </w:pPr>
            <w:r>
              <w:t>供应原料可能受 Salmonella 污染；两批产品自愿召回并暂停生产。</w:t>
            </w:r>
          </w:p>
        </w:tc>
        <w:tc>
          <w:tcPr>
            <w:tcW w:type="dxa" w:w="792"/>
            <w:vAlign w:val="center"/>
            <w:shd w:fill="F2F2F2"/>
            <w:tcMar>
              <w:top w:w="75" w:type="dxa"/>
              <w:start w:w="75" w:type="dxa"/>
              <w:bottom w:w="75" w:type="dxa"/>
              <w:end w:w="75" w:type="dxa"/>
            </w:tcMar>
          </w:tcPr>
          <w:p>
            <w:pPr>
              <w:spacing w:after="0" w:line="247" w:lineRule="auto"/>
              <w:jc w:val="center"/>
            </w:pPr>
            <w:r>
              <w:t>高</w:t>
            </w:r>
          </w:p>
        </w:tc>
        <w:tc>
          <w:tcPr>
            <w:tcW w:type="dxa" w:w="2678"/>
            <w:vAlign w:val="center"/>
            <w:shd w:fill="F2F2F2"/>
            <w:tcMar>
              <w:top w:w="75" w:type="dxa"/>
              <w:start w:w="75" w:type="dxa"/>
              <w:bottom w:w="75" w:type="dxa"/>
              <w:end w:w="75" w:type="dxa"/>
            </w:tcMar>
          </w:tcPr>
          <w:p>
            <w:pPr>
              <w:spacing w:after="0" w:line="247" w:lineRule="auto"/>
            </w:pPr>
            <w:r>
              <w:t>隔离相关批次，复核原料阳性处置、环境监测和召回链路。</w:t>
            </w:r>
          </w:p>
        </w:tc>
      </w:tr>
      <w:tr>
        <w:trPr>
          <w:cantSplit/>
        </w:trPr>
        <w:tc>
          <w:tcPr>
            <w:tcW w:type="dxa" w:w="835"/>
            <w:vAlign w:val="center"/>
            <w:tcMar>
              <w:top w:w="75" w:type="dxa"/>
              <w:start w:w="75" w:type="dxa"/>
              <w:bottom w:w="75" w:type="dxa"/>
              <w:end w:w="75" w:type="dxa"/>
            </w:tcMar>
          </w:tcPr>
          <w:p>
            <w:pPr>
              <w:spacing w:after="0" w:line="247" w:lineRule="auto"/>
              <w:jc w:val="center"/>
            </w:pPr>
            <w:r>
              <w:t>09-11</w:t>
            </w:r>
          </w:p>
        </w:tc>
        <w:tc>
          <w:tcPr>
            <w:tcW w:type="dxa" w:w="1613"/>
            <w:vAlign w:val="center"/>
            <w:tcMar>
              <w:top w:w="75" w:type="dxa"/>
              <w:start w:w="75" w:type="dxa"/>
              <w:bottom w:w="75" w:type="dxa"/>
              <w:end w:w="75" w:type="dxa"/>
            </w:tcMar>
          </w:tcPr>
          <w:p>
            <w:pPr>
              <w:spacing w:after="0" w:line="247" w:lineRule="auto"/>
            </w:pPr>
            <w:r>
              <w:t>EUR-Lex</w:t>
            </w:r>
            <w:r>
              <w:br/>
              <w:t>（EU）2026/2027</w:t>
            </w:r>
          </w:p>
        </w:tc>
        <w:tc>
          <w:tcPr>
            <w:tcW w:type="dxa" w:w="1296"/>
            <w:vAlign w:val="center"/>
            <w:tcMar>
              <w:top w:w="75" w:type="dxa"/>
              <w:start w:w="75" w:type="dxa"/>
              <w:bottom w:w="75" w:type="dxa"/>
              <w:end w:w="75" w:type="dxa"/>
            </w:tcMar>
          </w:tcPr>
          <w:p>
            <w:pPr>
              <w:spacing w:after="0" w:line="247" w:lineRule="auto"/>
            </w:pPr>
            <w:r>
              <w:t>蜜蜂用</w:t>
            </w:r>
            <w:r>
              <w:br/>
              <w:t>钼饲料添加剂</w:t>
            </w:r>
          </w:p>
        </w:tc>
        <w:tc>
          <w:tcPr>
            <w:tcW w:type="dxa" w:w="2462"/>
            <w:vAlign w:val="center"/>
            <w:tcMar>
              <w:top w:w="75" w:type="dxa"/>
              <w:start w:w="75" w:type="dxa"/>
              <w:bottom w:w="75" w:type="dxa"/>
              <w:end w:w="75" w:type="dxa"/>
            </w:tcMar>
          </w:tcPr>
          <w:p>
            <w:pPr>
              <w:spacing w:after="0" w:line="247" w:lineRule="auto"/>
            </w:pPr>
            <w:r>
              <w:t>新增 EDTA 钼螯合物授权；规定每次饲喂剂量及采蜜期限制。</w:t>
            </w:r>
          </w:p>
        </w:tc>
        <w:tc>
          <w:tcPr>
            <w:tcW w:type="dxa" w:w="792"/>
            <w:vAlign w:val="center"/>
            <w:tcMar>
              <w:top w:w="75" w:type="dxa"/>
              <w:start w:w="75" w:type="dxa"/>
              <w:bottom w:w="75" w:type="dxa"/>
              <w:end w:w="75" w:type="dxa"/>
            </w:tcMar>
          </w:tcPr>
          <w:p>
            <w:pPr>
              <w:spacing w:after="0" w:line="247" w:lineRule="auto"/>
              <w:jc w:val="center"/>
            </w:pPr>
            <w:r>
              <w:t>中高</w:t>
            </w:r>
          </w:p>
        </w:tc>
        <w:tc>
          <w:tcPr>
            <w:tcW w:type="dxa" w:w="2678"/>
            <w:vAlign w:val="center"/>
            <w:tcMar>
              <w:top w:w="75" w:type="dxa"/>
              <w:start w:w="75" w:type="dxa"/>
              <w:bottom w:w="75" w:type="dxa"/>
              <w:end w:w="75" w:type="dxa"/>
            </w:tcMar>
          </w:tcPr>
          <w:p>
            <w:pPr>
              <w:spacing w:after="0" w:line="247" w:lineRule="auto"/>
            </w:pPr>
            <w:r>
              <w:t>按目标动物、剂量、采蜜期和作业者防护核验标签与使用说明。</w:t>
            </w:r>
          </w:p>
        </w:tc>
      </w:tr>
      <w:tr>
        <w:trPr>
          <w:cantSplit/>
        </w:trPr>
        <w:tc>
          <w:tcPr>
            <w:tcW w:type="dxa" w:w="835"/>
            <w:vAlign w:val="center"/>
            <w:shd w:fill="F2F2F2"/>
            <w:tcMar>
              <w:top w:w="75" w:type="dxa"/>
              <w:start w:w="75" w:type="dxa"/>
              <w:bottom w:w="75" w:type="dxa"/>
              <w:end w:w="75" w:type="dxa"/>
            </w:tcMar>
          </w:tcPr>
          <w:p>
            <w:pPr>
              <w:spacing w:after="0" w:line="247" w:lineRule="auto"/>
              <w:jc w:val="center"/>
            </w:pPr>
            <w:r>
              <w:t>09-10</w:t>
            </w:r>
          </w:p>
        </w:tc>
        <w:tc>
          <w:tcPr>
            <w:tcW w:type="dxa" w:w="1613"/>
            <w:vAlign w:val="center"/>
            <w:shd w:fill="F2F2F2"/>
            <w:tcMar>
              <w:top w:w="75" w:type="dxa"/>
              <w:start w:w="75" w:type="dxa"/>
              <w:bottom w:w="75" w:type="dxa"/>
              <w:end w:w="75" w:type="dxa"/>
            </w:tcMar>
          </w:tcPr>
          <w:p>
            <w:pPr>
              <w:spacing w:after="0" w:line="247" w:lineRule="auto"/>
            </w:pPr>
            <w:r>
              <w:t>EUR-Lex</w:t>
            </w:r>
            <w:r>
              <w:br/>
              <w:t>（EU）2026/2056</w:t>
            </w:r>
          </w:p>
        </w:tc>
        <w:tc>
          <w:tcPr>
            <w:tcW w:type="dxa" w:w="1296"/>
            <w:vAlign w:val="center"/>
            <w:shd w:fill="F2F2F2"/>
            <w:tcMar>
              <w:top w:w="75" w:type="dxa"/>
              <w:start w:w="75" w:type="dxa"/>
              <w:bottom w:w="75" w:type="dxa"/>
              <w:end w:w="75" w:type="dxa"/>
            </w:tcMar>
          </w:tcPr>
          <w:p>
            <w:pPr>
              <w:spacing w:after="0" w:line="247" w:lineRule="auto"/>
            </w:pPr>
            <w:r>
              <w:t>禽源原料与产品</w:t>
            </w:r>
          </w:p>
        </w:tc>
        <w:tc>
          <w:tcPr>
            <w:tcW w:type="dxa" w:w="2462"/>
            <w:vAlign w:val="center"/>
            <w:shd w:fill="F2F2F2"/>
            <w:tcMar>
              <w:top w:w="75" w:type="dxa"/>
              <w:start w:w="75" w:type="dxa"/>
              <w:bottom w:w="75" w:type="dxa"/>
              <w:end w:w="75" w:type="dxa"/>
            </w:tcMar>
          </w:tcPr>
          <w:p>
            <w:pPr>
              <w:spacing w:after="0" w:line="247" w:lineRule="auto"/>
            </w:pPr>
            <w:r>
              <w:t>欧盟更新 HPAI 紧急措施；相关准入仍按分区和时间动态管理。</w:t>
            </w:r>
          </w:p>
        </w:tc>
        <w:tc>
          <w:tcPr>
            <w:tcW w:type="dxa" w:w="792"/>
            <w:vAlign w:val="center"/>
            <w:shd w:fill="F2F2F2"/>
            <w:tcMar>
              <w:top w:w="75" w:type="dxa"/>
              <w:start w:w="75" w:type="dxa"/>
              <w:bottom w:w="75" w:type="dxa"/>
              <w:end w:w="75" w:type="dxa"/>
            </w:tcMar>
          </w:tcPr>
          <w:p>
            <w:pPr>
              <w:spacing w:after="0" w:line="247" w:lineRule="auto"/>
              <w:jc w:val="center"/>
            </w:pPr>
            <w:r>
              <w:t>中</w:t>
            </w:r>
          </w:p>
        </w:tc>
        <w:tc>
          <w:tcPr>
            <w:tcW w:type="dxa" w:w="2678"/>
            <w:vAlign w:val="center"/>
            <w:shd w:fill="F2F2F2"/>
            <w:tcMar>
              <w:top w:w="75" w:type="dxa"/>
              <w:start w:w="75" w:type="dxa"/>
              <w:bottom w:w="75" w:type="dxa"/>
              <w:end w:w="75" w:type="dxa"/>
            </w:tcMar>
          </w:tcPr>
          <w:p>
            <w:pPr>
              <w:spacing w:after="0" w:line="247" w:lineRule="auto"/>
            </w:pPr>
            <w:r>
              <w:t>逐票核验原产分区、生产日期、热处理和动物卫生证明。</w:t>
            </w:r>
          </w:p>
        </w:tc>
      </w:tr>
      <w:tr>
        <w:trPr>
          <w:cantSplit/>
        </w:trPr>
        <w:tc>
          <w:tcPr>
            <w:tcW w:type="dxa" w:w="835"/>
            <w:vAlign w:val="center"/>
            <w:tcMar>
              <w:top w:w="75" w:type="dxa"/>
              <w:start w:w="75" w:type="dxa"/>
              <w:bottom w:w="75" w:type="dxa"/>
              <w:end w:w="75" w:type="dxa"/>
            </w:tcMar>
          </w:tcPr>
          <w:p>
            <w:pPr>
              <w:spacing w:after="0" w:line="247" w:lineRule="auto"/>
              <w:jc w:val="center"/>
            </w:pPr>
            <w:r>
              <w:t>09-09</w:t>
            </w:r>
            <w:r>
              <w:br/>
              <w:t>09-10</w:t>
            </w:r>
          </w:p>
        </w:tc>
        <w:tc>
          <w:tcPr>
            <w:tcW w:type="dxa" w:w="1613"/>
            <w:vAlign w:val="center"/>
            <w:tcMar>
              <w:top w:w="75" w:type="dxa"/>
              <w:start w:w="75" w:type="dxa"/>
              <w:bottom w:w="75" w:type="dxa"/>
              <w:end w:w="75" w:type="dxa"/>
            </w:tcMar>
          </w:tcPr>
          <w:p>
            <w:pPr>
              <w:spacing w:after="0" w:line="247" w:lineRule="auto"/>
            </w:pPr>
            <w:r>
              <w:t>Nestlé /</w:t>
            </w:r>
            <w:r>
              <w:br/>
              <w:t>Physiol Res</w:t>
            </w:r>
          </w:p>
        </w:tc>
        <w:tc>
          <w:tcPr>
            <w:tcW w:type="dxa" w:w="1296"/>
            <w:vAlign w:val="center"/>
            <w:tcMar>
              <w:top w:w="75" w:type="dxa"/>
              <w:start w:w="75" w:type="dxa"/>
              <w:bottom w:w="75" w:type="dxa"/>
              <w:end w:w="75" w:type="dxa"/>
            </w:tcMar>
          </w:tcPr>
          <w:p>
            <w:pPr>
              <w:spacing w:after="0" w:line="247" w:lineRule="auto"/>
            </w:pPr>
            <w:r>
              <w:t>产能与</w:t>
            </w:r>
            <w:r>
              <w:br/>
              <w:t>前沿原料</w:t>
            </w:r>
          </w:p>
        </w:tc>
        <w:tc>
          <w:tcPr>
            <w:tcW w:type="dxa" w:w="2462"/>
            <w:vAlign w:val="center"/>
            <w:tcMar>
              <w:top w:w="75" w:type="dxa"/>
              <w:start w:w="75" w:type="dxa"/>
              <w:bottom w:w="75" w:type="dxa"/>
              <w:end w:w="75" w:type="dxa"/>
            </w:tcMar>
          </w:tcPr>
          <w:p>
            <w:pPr>
              <w:spacing w:after="0" w:line="247" w:lineRule="auto"/>
            </w:pPr>
            <w:r>
              <w:t>泰国宠物食品扩产；培养肉综述提出多层安全评价框架。</w:t>
            </w:r>
          </w:p>
        </w:tc>
        <w:tc>
          <w:tcPr>
            <w:tcW w:type="dxa" w:w="792"/>
            <w:vAlign w:val="center"/>
            <w:tcMar>
              <w:top w:w="75" w:type="dxa"/>
              <w:start w:w="75" w:type="dxa"/>
              <w:bottom w:w="75" w:type="dxa"/>
              <w:end w:w="75" w:type="dxa"/>
            </w:tcMar>
          </w:tcPr>
          <w:p>
            <w:pPr>
              <w:spacing w:after="0" w:line="247" w:lineRule="auto"/>
              <w:jc w:val="center"/>
            </w:pPr>
            <w:r>
              <w:t>中</w:t>
            </w:r>
          </w:p>
        </w:tc>
        <w:tc>
          <w:tcPr>
            <w:tcW w:type="dxa" w:w="2678"/>
            <w:vAlign w:val="center"/>
            <w:tcMar>
              <w:top w:w="75" w:type="dxa"/>
              <w:start w:w="75" w:type="dxa"/>
              <w:bottom w:w="75" w:type="dxa"/>
              <w:end w:w="75" w:type="dxa"/>
            </w:tcMar>
          </w:tcPr>
          <w:p>
            <w:pPr>
              <w:spacing w:after="0" w:line="247" w:lineRule="auto"/>
            </w:pPr>
            <w:r>
              <w:t>分别开展供应链容量评估与新原料风险清单设计。</w:t>
            </w:r>
          </w:p>
        </w:tc>
      </w:tr>
    </w:tbl>
    <w:p>
      <w:pPr>
        <w:keepNext w:val="0"/>
        <w:spacing w:before="140" w:after="60" w:line="276" w:lineRule="auto"/>
      </w:pPr>
      <w:r>
        <w:rPr>
          <w:rFonts w:ascii="宋体" w:hAnsi="宋体" w:eastAsia="宋体" w:cs="宋体"/>
          <w:b w:val="0"/>
          <w:sz w:val="18"/>
        </w:rPr>
        <w:t>说明：RASFF 与 FDA 事项均为官方风险处置节点；欧盟添加剂授权和动物卫生文件的适用性取决于目标动物、用途、分区及日期。企业公告与综述仅用于产能和技术风险研判，不等同于监管结论。</w:t>
      </w:r>
    </w:p>
    <w:p>
      <w:r>
        <w:br w:type="page"/>
      </w:r>
    </w:p>
    <w:p>
      <w:pPr>
        <w:keepNext/>
        <w:spacing w:before="60" w:after="80" w:line="276" w:lineRule="auto"/>
      </w:pPr>
      <w:r>
        <w:rPr>
          <w:rFonts w:ascii="黑体" w:hAnsi="黑体" w:eastAsia="黑体" w:cs="黑体"/>
          <w:b/>
          <w:sz w:val="30"/>
        </w:rPr>
        <w:t>三、重点资讯与管理建议</w:t>
      </w:r>
    </w:p>
    <w:p>
      <w:pPr>
        <w:keepNext/>
        <w:spacing w:before="40" w:after="60" w:line="276" w:lineRule="auto"/>
      </w:pPr>
      <w:r>
        <w:rPr>
          <w:rFonts w:ascii="黑体" w:hAnsi="黑体" w:eastAsia="黑体" w:cs="黑体"/>
          <w:b/>
          <w:sz w:val="22"/>
        </w:rPr>
        <w:t>1. 仔猪补充饲料维生素与添加剂不合规：配方计算、授权清单和库存追踪需同时闭环</w:t>
      </w:r>
    </w:p>
    <w:p>
      <w:pPr>
        <w:spacing w:after="60" w:line="276" w:lineRule="auto"/>
      </w:pPr>
      <w:r>
        <w:rPr>
          <w:rFonts w:ascii="黑体" w:hAnsi="黑体" w:eastAsia="黑体" w:cs="黑体"/>
          <w:b/>
          <w:sz w:val="20"/>
        </w:rPr>
        <w:t>日期依据：</w:t>
      </w:r>
      <w:r>
        <w:rPr>
          <w:rFonts w:ascii="宋体" w:hAnsi="宋体" w:eastAsia="宋体" w:cs="宋体"/>
          <w:b w:val="0"/>
          <w:sz w:val="20"/>
        </w:rPr>
        <w:t>RASFF 2026.7973 的欧盟验证日期为 2026-09-09。</w:t>
      </w:r>
    </w:p>
    <w:p>
      <w:pPr>
        <w:spacing w:after="60" w:line="276" w:lineRule="auto"/>
      </w:pPr>
      <w:r>
        <w:rPr>
          <w:rFonts w:ascii="黑体" w:hAnsi="黑体" w:eastAsia="黑体" w:cs="黑体"/>
          <w:b/>
          <w:sz w:val="20"/>
        </w:rPr>
        <w:t>发生了什么：</w:t>
      </w:r>
      <w:r>
        <w:rPr>
          <w:rFonts w:ascii="宋体" w:hAnsi="宋体" w:eastAsia="宋体" w:cs="宋体"/>
          <w:b w:val="0"/>
          <w:sz w:val="20"/>
        </w:rPr>
        <w:t>德国官方市场检查发现德国来源仔猪补充饲料中维生素 A、维生素 D 和硒含量过高，并使用未获授权的饲料添加剂糖精钠（E954）。RASFF 将其列为需后续跟进的信息通报，风险判断为 potentially serious；产品分销至奥地利、比利时、拉脱维亚、荷兰、波兰、斯洛伐克和斯洛文尼亚，措施为市场撤回。</w:t>
      </w:r>
    </w:p>
    <w:p>
      <w:pPr>
        <w:spacing w:after="60" w:line="276" w:lineRule="auto"/>
      </w:pPr>
      <w:r>
        <w:rPr>
          <w:rFonts w:ascii="黑体" w:hAnsi="黑体" w:eastAsia="黑体" w:cs="黑体"/>
          <w:b/>
          <w:sz w:val="20"/>
        </w:rPr>
        <w:t>管理判断：</w:t>
      </w:r>
      <w:r>
        <w:rPr>
          <w:rFonts w:ascii="宋体" w:hAnsi="宋体" w:eastAsia="宋体" w:cs="宋体"/>
          <w:b w:val="0"/>
          <w:sz w:val="20"/>
        </w:rPr>
        <w:t>这不是单一指标失误，而是营养上限、添加剂正面清单、目标动物适用性和跨国追溯同时失效的组合信号。RASFF 公共字段未给出具体检测值，因此不能推断超量幅度；但多国分销和市场撤回使其具有即时库存与客户通知价值。</w:t>
      </w:r>
    </w:p>
    <w:p>
      <w:pPr>
        <w:spacing w:after="60" w:line="276" w:lineRule="auto"/>
      </w:pPr>
      <w:r>
        <w:rPr>
          <w:rFonts w:ascii="黑体" w:hAnsi="黑体" w:eastAsia="黑体" w:cs="黑体"/>
          <w:b/>
          <w:sz w:val="20"/>
        </w:rPr>
        <w:t>本周建议：</w:t>
      </w:r>
      <w:r>
        <w:rPr>
          <w:rFonts w:ascii="宋体" w:hAnsi="宋体" w:eastAsia="宋体" w:cs="宋体"/>
          <w:b w:val="0"/>
          <w:sz w:val="20"/>
        </w:rPr>
        <w:t>对仔猪预混料和补充饲料复核维生素 A、D、硒的配方计算、原料实测值与标签用量，确认甜味剂及其他感官添加剂在目的市场和目标动物上的授权状态。按供应商、批次和销售国家锁定库存，保留撤回、客户通知和销毁/退运记录。</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S1 RASFF 2026.7973</w:t>
      </w:r>
    </w:p>
    <w:p>
      <w:pPr>
        <w:keepNext/>
        <w:spacing w:before="40" w:after="60" w:line="276" w:lineRule="auto"/>
      </w:pPr>
      <w:r>
        <w:rPr>
          <w:rFonts w:ascii="黑体" w:hAnsi="黑体" w:eastAsia="黑体" w:cs="黑体"/>
          <w:b/>
          <w:sz w:val="22"/>
        </w:rPr>
        <w:t>2. Fi 犬用补充剂 Salmonella 召回：原料风险必须贯通成品、环境与渠道</w:t>
      </w:r>
    </w:p>
    <w:p>
      <w:pPr>
        <w:spacing w:after="60" w:line="276" w:lineRule="auto"/>
      </w:pPr>
      <w:r>
        <w:rPr>
          <w:rFonts w:ascii="黑体" w:hAnsi="黑体" w:eastAsia="黑体" w:cs="黑体"/>
          <w:b/>
          <w:sz w:val="20"/>
        </w:rPr>
        <w:t>日期依据：</w:t>
      </w:r>
      <w:r>
        <w:rPr>
          <w:rFonts w:ascii="宋体" w:hAnsi="宋体" w:eastAsia="宋体" w:cs="宋体"/>
          <w:b w:val="0"/>
          <w:sz w:val="20"/>
        </w:rPr>
        <w:t>FDA 页面发布日期为 2026-09-08；企业公告日期为 2026-09-03。</w:t>
      </w:r>
    </w:p>
    <w:p>
      <w:pPr>
        <w:spacing w:after="60" w:line="276" w:lineRule="auto"/>
      </w:pPr>
      <w:r>
        <w:rPr>
          <w:rFonts w:ascii="黑体" w:hAnsi="黑体" w:eastAsia="黑体" w:cs="黑体"/>
          <w:b/>
          <w:sz w:val="20"/>
        </w:rPr>
        <w:t>发生了什么：</w:t>
      </w:r>
      <w:r>
        <w:rPr>
          <w:rFonts w:ascii="宋体" w:hAnsi="宋体" w:eastAsia="宋体" w:cs="宋体"/>
          <w:b w:val="0"/>
          <w:sz w:val="20"/>
        </w:rPr>
        <w:t>Fi 召回两款 180 g 犬用补充剂：Calming Supplement（批号 26118，UPC 850064800111）和 8-in-1 Formula Supplement（批号 26159，UPC 850055111684）。企业称供应给制造商的一种原料可能受 Salmonella 污染，产品经品牌官网、Amazon 和 Chewy 销售，制造商已暂停生产。</w:t>
      </w:r>
    </w:p>
    <w:p>
      <w:pPr>
        <w:spacing w:after="60" w:line="276" w:lineRule="auto"/>
      </w:pPr>
      <w:r>
        <w:rPr>
          <w:rFonts w:ascii="黑体" w:hAnsi="黑体" w:eastAsia="黑体" w:cs="黑体"/>
          <w:b/>
          <w:sz w:val="20"/>
        </w:rPr>
        <w:t>管理判断：</w:t>
      </w:r>
      <w:r>
        <w:rPr>
          <w:rFonts w:ascii="宋体" w:hAnsi="宋体" w:eastAsia="宋体" w:cs="宋体"/>
          <w:b w:val="0"/>
          <w:sz w:val="20"/>
        </w:rPr>
        <w:t>事件由供应原料触发，但控制对象不能停留在原料 COA。犬用补充剂可被动物直接摄入，也可能在家庭环境中造成交叉污染；企业需把供应商调查、成品留样、生产环境、渠道库存和投诉/健康信息放在同一调查框架中。</w:t>
      </w:r>
    </w:p>
    <w:p>
      <w:pPr>
        <w:spacing w:after="60" w:line="276" w:lineRule="auto"/>
      </w:pPr>
      <w:r>
        <w:rPr>
          <w:rFonts w:ascii="黑体" w:hAnsi="黑体" w:eastAsia="黑体" w:cs="黑体"/>
          <w:b/>
          <w:sz w:val="20"/>
        </w:rPr>
        <w:t>本周建议：</w:t>
      </w:r>
      <w:r>
        <w:rPr>
          <w:rFonts w:ascii="宋体" w:hAnsi="宋体" w:eastAsia="宋体" w:cs="宋体"/>
          <w:b w:val="0"/>
          <w:sz w:val="20"/>
        </w:rPr>
        <w:t>核对两批产品及相关原料在库、在途和渠道库存；复核 Salmonella 检测方法、取样量、阳性确认、环境监测分区与清洁验证。对同一原料用于其他配方的范围完成横向排查，并验证消费者通知、退货和召回效果检查。</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S2 美国 FDA Fi 犬用补充剂召回</w:t>
      </w:r>
    </w:p>
    <w:p>
      <w:r>
        <w:br w:type="page"/>
      </w:r>
    </w:p>
    <w:p>
      <w:pPr>
        <w:keepNext/>
        <w:spacing w:before="60" w:after="80" w:line="276" w:lineRule="auto"/>
      </w:pPr>
      <w:r>
        <w:rPr>
          <w:rFonts w:ascii="黑体" w:hAnsi="黑体" w:eastAsia="黑体" w:cs="黑体"/>
          <w:b/>
          <w:sz w:val="30"/>
        </w:rPr>
        <w:t>四、原料市场与中国市场雷达</w:t>
      </w:r>
    </w:p>
    <w:p>
      <w:pPr>
        <w:keepNext/>
        <w:spacing w:before="40" w:after="60" w:line="276" w:lineRule="auto"/>
      </w:pPr>
      <w:r>
        <w:rPr>
          <w:rFonts w:ascii="黑体" w:hAnsi="黑体" w:eastAsia="黑体" w:cs="黑体"/>
          <w:b/>
          <w:sz w:val="22"/>
        </w:rPr>
        <w:t>3. 欧盟本周三项法律节点：添加剂使用条件与动物卫生分区需分开管理</w:t>
      </w:r>
    </w:p>
    <w:p>
      <w:pPr>
        <w:spacing w:after="60" w:line="276" w:lineRule="auto"/>
      </w:pPr>
      <w:r>
        <w:rPr>
          <w:rFonts w:ascii="黑体" w:hAnsi="黑体" w:eastAsia="黑体" w:cs="黑体"/>
          <w:b/>
          <w:sz w:val="20"/>
        </w:rPr>
        <w:t>日期依据：</w:t>
      </w:r>
      <w:r>
        <w:rPr>
          <w:rFonts w:ascii="宋体" w:hAnsi="宋体" w:eastAsia="宋体" w:cs="宋体"/>
          <w:b w:val="0"/>
          <w:sz w:val="20"/>
        </w:rPr>
        <w:t>（EU）2026/2020、（EU）2026/2056 和（EU）2026/2027 分别于 2026-09-07、09-10 和 09-11 在欧盟《官方公报》发布。</w:t>
      </w:r>
    </w:p>
    <w:p>
      <w:pPr>
        <w:spacing w:after="60" w:line="276" w:lineRule="auto"/>
      </w:pPr>
      <w:r>
        <w:rPr>
          <w:rFonts w:ascii="黑体" w:hAnsi="黑体" w:eastAsia="黑体" w:cs="黑体"/>
          <w:b/>
          <w:sz w:val="20"/>
        </w:rPr>
        <w:t>发生了什么：</w:t>
      </w:r>
      <w:r>
        <w:rPr>
          <w:rFonts w:ascii="宋体" w:hAnsi="宋体" w:eastAsia="宋体" w:cs="宋体"/>
          <w:b w:val="0"/>
          <w:sz w:val="20"/>
        </w:rPr>
        <w:t>（EU）2026/2027 授权 EDTA 钼螯合物作为蜜蜂用动物技术性添加剂；资料显示 8 mg/蜂箱/次饲喂具有潜在效力，采蜜继箱安装期间及采蜜前 2 个月不得使用，并要求控制皮肤、呼吸致敏和吸入/皮肤暴露。（EU）2026/2056 更新成员国 HPAI 紧急措施；（EU）2026/2020 因动物卫生状况调整美国禽类、繁殖材料和鲜禽肉准入清单。</w:t>
      </w:r>
    </w:p>
    <w:p>
      <w:pPr>
        <w:spacing w:after="60" w:line="276" w:lineRule="auto"/>
      </w:pPr>
      <w:r>
        <w:rPr>
          <w:rFonts w:ascii="黑体" w:hAnsi="黑体" w:eastAsia="黑体" w:cs="黑体"/>
          <w:b/>
          <w:sz w:val="20"/>
        </w:rPr>
        <w:t>管理判断：</w:t>
      </w:r>
      <w:r>
        <w:rPr>
          <w:rFonts w:ascii="宋体" w:hAnsi="宋体" w:eastAsia="宋体" w:cs="宋体"/>
          <w:b w:val="0"/>
          <w:sz w:val="20"/>
        </w:rPr>
        <w:t>添加剂授权是特定物质、目标动物和使用条件的正面许可；HPAI 文件与第三国准入清单则是按区域和时间动态变化的动物卫生控制。两类规则不能互相替代，也不能从蜜蜂授权外推至宠物或畜禽使用。</w:t>
      </w:r>
    </w:p>
    <w:p>
      <w:pPr>
        <w:spacing w:after="60" w:line="276" w:lineRule="auto"/>
      </w:pPr>
      <w:r>
        <w:rPr>
          <w:rFonts w:ascii="黑体" w:hAnsi="黑体" w:eastAsia="黑体" w:cs="黑体"/>
          <w:b/>
          <w:sz w:val="20"/>
        </w:rPr>
        <w:t>本周建议：</w:t>
      </w:r>
      <w:r>
        <w:rPr>
          <w:rFonts w:ascii="宋体" w:hAnsi="宋体" w:eastAsia="宋体" w:cs="宋体"/>
          <w:b w:val="0"/>
          <w:sz w:val="20"/>
        </w:rPr>
        <w:t>涉及蜂用补充饲料时核对添加剂身份、剂量、采蜜期禁用条件、标签和作业者防护；涉及禽源原料或产品时，按供应商地址、原产分区、生产日期、品类、热处理和动物卫生证明逐票核验现行附件。</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S3 EUR-Lex（EU）2026/2027；S4（EU）2026/2056；S5（EU）2026/2020</w:t>
      </w:r>
    </w:p>
    <w:p>
      <w:pPr>
        <w:keepNext/>
        <w:spacing w:before="40" w:after="60" w:line="276" w:lineRule="auto"/>
      </w:pPr>
      <w:r>
        <w:rPr>
          <w:rFonts w:ascii="黑体" w:hAnsi="黑体" w:eastAsia="黑体" w:cs="黑体"/>
          <w:b/>
          <w:sz w:val="22"/>
        </w:rPr>
        <w:t>4. 产业与前沿技术：扩产信号看供应链，培养肉信号看安全评价框架</w:t>
      </w:r>
    </w:p>
    <w:p>
      <w:pPr>
        <w:spacing w:after="60" w:line="276" w:lineRule="auto"/>
      </w:pPr>
      <w:r>
        <w:rPr>
          <w:rFonts w:ascii="黑体" w:hAnsi="黑体" w:eastAsia="黑体" w:cs="黑体"/>
          <w:b/>
          <w:sz w:val="20"/>
        </w:rPr>
        <w:t>日期依据：</w:t>
      </w:r>
      <w:r>
        <w:rPr>
          <w:rFonts w:ascii="宋体" w:hAnsi="宋体" w:eastAsia="宋体" w:cs="宋体"/>
          <w:b w:val="0"/>
          <w:sz w:val="20"/>
        </w:rPr>
        <w:t>雀巢于 2026-09-09 发布泰国罗勇扩产公告；培养肉安全综述于 2026-09-10 在行业渠道披露，原文发表于 Physiol Res 75:645–657。</w:t>
      </w:r>
    </w:p>
    <w:p>
      <w:pPr>
        <w:spacing w:after="60" w:line="276" w:lineRule="auto"/>
      </w:pPr>
      <w:r>
        <w:rPr>
          <w:rFonts w:ascii="黑体" w:hAnsi="黑体" w:eastAsia="黑体" w:cs="黑体"/>
          <w:b/>
          <w:sz w:val="20"/>
        </w:rPr>
        <w:t>发生了什么：</w:t>
      </w:r>
      <w:r>
        <w:rPr>
          <w:rFonts w:ascii="宋体" w:hAnsi="宋体" w:eastAsia="宋体" w:cs="宋体"/>
          <w:b w:val="0"/>
          <w:sz w:val="20"/>
        </w:rPr>
        <w:t>雀巢计划投资 1.57 亿瑞士法郎扩建罗勇宠物食品工厂，服务泰国及国际市场，并强调禽肉、鱼类和蔬菜等本地原料。近期综述则把培养肉风险拆分为支原体、内源病毒、朊病毒/血清污染、支架或培养基过敏原、残留生长因子及营养组成等环节。</w:t>
      </w:r>
    </w:p>
    <w:p>
      <w:pPr>
        <w:spacing w:after="60" w:line="276" w:lineRule="auto"/>
      </w:pPr>
      <w:r>
        <w:rPr>
          <w:rFonts w:ascii="黑体" w:hAnsi="黑体" w:eastAsia="黑体" w:cs="黑体"/>
          <w:b/>
          <w:sz w:val="20"/>
        </w:rPr>
        <w:t>管理判断：</w:t>
      </w:r>
      <w:r>
        <w:rPr>
          <w:rFonts w:ascii="宋体" w:hAnsi="宋体" w:eastAsia="宋体" w:cs="宋体"/>
          <w:b w:val="0"/>
          <w:sz w:val="20"/>
        </w:rPr>
        <w:t>扩产公告能支持产能与本地供应链方向判断，但不能据此推断实际销量或竞争份额；培养肉综述是风险识别框架，不是监管批准或具体产品合格结论。二者分别对应供应链尽调和新原料技术审查。</w:t>
      </w:r>
    </w:p>
    <w:p>
      <w:pPr>
        <w:spacing w:after="60" w:line="276" w:lineRule="auto"/>
      </w:pPr>
      <w:r>
        <w:rPr>
          <w:rFonts w:ascii="黑体" w:hAnsi="黑体" w:eastAsia="黑体" w:cs="黑体"/>
          <w:b/>
          <w:sz w:val="20"/>
        </w:rPr>
        <w:t>本周建议：</w:t>
      </w:r>
      <w:r>
        <w:rPr>
          <w:rFonts w:ascii="宋体" w:hAnsi="宋体" w:eastAsia="宋体" w:cs="宋体"/>
          <w:b w:val="0"/>
          <w:sz w:val="20"/>
        </w:rPr>
        <w:t>对东南亚宠物食品供应链更新产能、关键原料、包装和物流备选图；对培养动物细胞原料建立危害清单，覆盖细胞库身份、支原体/qPCR 监测、培养基与支架过敏原、残留物、营养组成、批次一致性及适用法规。</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S6 Nestlé；S7 Physiol Res 综述</w:t>
      </w:r>
    </w:p>
    <w:p>
      <w:pPr>
        <w:keepNext/>
        <w:spacing w:before="60" w:after="80" w:line="276" w:lineRule="auto"/>
      </w:pPr>
      <w:r>
        <w:rPr>
          <w:rFonts w:ascii="黑体" w:hAnsi="黑体" w:eastAsia="黑体" w:cs="黑体"/>
          <w:b/>
          <w:sz w:val="30"/>
        </w:rPr>
        <w:t>五、中国市场补充观察</w:t>
      </w:r>
    </w:p>
    <w:p>
      <w:pPr>
        <w:spacing w:after="60" w:line="276" w:lineRule="auto"/>
      </w:pPr>
      <w:r>
        <w:rPr>
          <w:rFonts w:ascii="黑体" w:hAnsi="黑体" w:eastAsia="黑体" w:cs="黑体"/>
          <w:b/>
          <w:sz w:val="20"/>
        </w:rPr>
        <w:t>监管与官方监测：</w:t>
      </w:r>
      <w:r>
        <w:rPr>
          <w:rFonts w:ascii="宋体" w:hAnsi="宋体" w:eastAsia="宋体" w:cs="宋体"/>
          <w:b w:val="0"/>
          <w:sz w:val="20"/>
        </w:rPr>
        <w:t>农业农村部、海关总署、市场监管总局等官方路径均已核验；本周无达到即时行动阈值的新增抽检、召回、许可或准入条款。</w:t>
      </w:r>
    </w:p>
    <w:p>
      <w:pPr>
        <w:spacing w:after="60" w:line="276" w:lineRule="auto"/>
      </w:pPr>
      <w:r>
        <w:rPr>
          <w:rFonts w:ascii="黑体" w:hAnsi="黑体" w:eastAsia="黑体" w:cs="黑体"/>
          <w:b/>
          <w:sz w:val="20"/>
        </w:rPr>
        <w:t>标准与技术规范：</w:t>
      </w:r>
      <w:r>
        <w:rPr>
          <w:rFonts w:ascii="宋体" w:hAnsi="宋体" w:eastAsia="宋体" w:cs="宋体"/>
          <w:b w:val="0"/>
          <w:sz w:val="20"/>
        </w:rPr>
        <w:t>牛磺酸饲料添加剂国标已于 9 月 1 日实施，早于本期窗口且本周无新状态节点，不重复展开。</w:t>
      </w:r>
    </w:p>
    <w:p>
      <w:pPr>
        <w:spacing w:after="60" w:line="276" w:lineRule="auto"/>
      </w:pPr>
      <w:r>
        <w:rPr>
          <w:rFonts w:ascii="黑体" w:hAnsi="黑体" w:eastAsia="黑体" w:cs="黑体"/>
          <w:b/>
          <w:sz w:val="20"/>
        </w:rPr>
        <w:t>产能与竞争：</w:t>
      </w:r>
      <w:r>
        <w:rPr>
          <w:rFonts w:ascii="宋体" w:hAnsi="宋体" w:eastAsia="宋体" w:cs="宋体"/>
          <w:b w:val="0"/>
          <w:sz w:val="20"/>
        </w:rPr>
        <w:t>未见企业正式公告且在本期内达到行动阈值的新增中国产能、融资或合作事项。</w:t>
      </w:r>
    </w:p>
    <w:p>
      <w:pPr>
        <w:spacing w:after="60" w:line="276" w:lineRule="auto"/>
      </w:pPr>
      <w:r>
        <w:rPr>
          <w:rFonts w:ascii="黑体" w:hAnsi="黑体" w:eastAsia="黑体" w:cs="黑体"/>
          <w:b/>
          <w:sz w:val="20"/>
        </w:rPr>
        <w:t>产品与消费：</w:t>
      </w:r>
      <w:r>
        <w:rPr>
          <w:rFonts w:ascii="宋体" w:hAnsi="宋体" w:eastAsia="宋体" w:cs="宋体"/>
          <w:b w:val="0"/>
          <w:sz w:val="20"/>
        </w:rPr>
        <w:t>未见监管、企业或可靠销量证据交叉验证的本周趋势，不以单一流量信号外推。</w:t>
      </w:r>
    </w:p>
    <w:p>
      <w:pPr>
        <w:spacing w:after="60" w:line="276" w:lineRule="auto"/>
      </w:pPr>
      <w:r>
        <w:rPr>
          <w:rFonts w:ascii="黑体" w:hAnsi="黑体" w:eastAsia="黑体" w:cs="黑体"/>
          <w:b/>
          <w:sz w:val="20"/>
        </w:rPr>
        <w:t>高关注消费风险：</w:t>
      </w:r>
      <w:r>
        <w:rPr>
          <w:rFonts w:ascii="宋体" w:hAnsi="宋体" w:eastAsia="宋体" w:cs="宋体"/>
          <w:b w:val="0"/>
          <w:sz w:val="20"/>
        </w:rPr>
        <w:t>未见本期内具有监管结论或企业后续更新的中国独立宠物食品风险信号。</w:t>
      </w:r>
    </w:p>
    <w:p>
      <w:pPr>
        <w:keepNext/>
        <w:spacing w:before="60" w:after="80" w:line="276" w:lineRule="auto"/>
      </w:pPr>
      <w:r>
        <w:rPr>
          <w:rFonts w:ascii="黑体" w:hAnsi="黑体" w:eastAsia="黑体" w:cs="黑体"/>
          <w:b/>
          <w:sz w:val="30"/>
        </w:rPr>
        <w:t>六、本周建议启动的管理动作</w:t>
      </w:r>
    </w:p>
    <w:p>
      <w:pPr>
        <w:keepNext w:val="0"/>
        <w:spacing w:before="0" w:after="40" w:line="276" w:lineRule="auto"/>
      </w:pPr>
      <w:r>
        <w:rPr>
          <w:rFonts w:ascii="宋体" w:hAnsi="宋体" w:eastAsia="宋体" w:cs="宋体"/>
          <w:b w:val="0"/>
          <w:sz w:val="20"/>
        </w:rPr>
        <w:t>1. 对仔猪补充饲料和预混料开展维生素 A、D、硒及感官添加剂专项复核，贯通配方计算、实测值、授权状态、标签和多国库存。</w:t>
      </w:r>
    </w:p>
    <w:p>
      <w:pPr>
        <w:keepNext w:val="0"/>
        <w:spacing w:before="0" w:after="40" w:line="276" w:lineRule="auto"/>
      </w:pPr>
      <w:r>
        <w:rPr>
          <w:rFonts w:ascii="宋体" w:hAnsi="宋体" w:eastAsia="宋体" w:cs="宋体"/>
          <w:b w:val="0"/>
          <w:sz w:val="20"/>
        </w:rPr>
        <w:t>2. 对 Fi 召回涉及的两批犬用补充剂、同源原料及关联配方完成库存隔离、Salmonella 调查、环境监测复核和召回效果检查。</w:t>
      </w:r>
    </w:p>
    <w:p>
      <w:pPr>
        <w:keepNext w:val="0"/>
        <w:spacing w:before="0" w:after="40" w:line="276" w:lineRule="auto"/>
      </w:pPr>
      <w:r>
        <w:rPr>
          <w:rFonts w:ascii="宋体" w:hAnsi="宋体" w:eastAsia="宋体" w:cs="宋体"/>
          <w:b w:val="0"/>
          <w:sz w:val="20"/>
        </w:rPr>
        <w:t>3. 将欧盟添加剂授权与动物卫生分区拆成两套控制清单：前者核对物质/动物/剂量/禁用期，后者核对区域/日期/品类/证书。</w:t>
      </w:r>
    </w:p>
    <w:p>
      <w:pPr>
        <w:keepNext w:val="0"/>
        <w:spacing w:before="0" w:after="40" w:line="276" w:lineRule="auto"/>
      </w:pPr>
      <w:r>
        <w:rPr>
          <w:rFonts w:ascii="宋体" w:hAnsi="宋体" w:eastAsia="宋体" w:cs="宋体"/>
          <w:b w:val="0"/>
          <w:sz w:val="20"/>
        </w:rPr>
        <w:t>4. 对东南亚宠物食品供应链更新产能与本地原料依赖图，把公告投资额与实际可用产能、交付能力和质量体系证据分开。</w:t>
      </w:r>
    </w:p>
    <w:p>
      <w:pPr>
        <w:keepNext w:val="0"/>
        <w:spacing w:before="0" w:after="40" w:line="276" w:lineRule="auto"/>
      </w:pPr>
      <w:r>
        <w:rPr>
          <w:rFonts w:ascii="宋体" w:hAnsi="宋体" w:eastAsia="宋体" w:cs="宋体"/>
          <w:b w:val="0"/>
          <w:sz w:val="20"/>
        </w:rPr>
        <w:t>5. 为培养动物细胞原料建立预审模板，覆盖细胞库、微生物/病毒、培养基与支架、残留物、营养组成、批次一致性和法规路径。</w:t>
      </w:r>
    </w:p>
    <w:p>
      <w:r>
        <w:br w:type="page"/>
      </w:r>
    </w:p>
    <w:p>
      <w:pPr>
        <w:keepNext/>
        <w:spacing w:before="60" w:after="80" w:line="276" w:lineRule="auto"/>
      </w:pPr>
      <w:r>
        <w:rPr>
          <w:rFonts w:ascii="黑体" w:hAnsi="黑体" w:eastAsia="黑体" w:cs="黑体"/>
          <w:b/>
          <w:sz w:val="30"/>
        </w:rPr>
        <w:t>七、信息来源与使用说明</w:t>
      </w:r>
    </w:p>
    <w:tbl>
      <w:tblPr>
        <w:tblStyle w:val="afb"/>
        <w:tblW w:type="dxa" w:w="8957"/>
        <w:jc w:val="center"/>
        <w:tblLayout w:type="fixed"/>
        <w:tblLook w:firstColumn="1" w:firstRow="1" w:lastColumn="0" w:lastRow="0" w:noHBand="0" w:noVBand="1" w:val="04A0"/>
      </w:tblPr>
      <w:tblGrid>
        <w:gridCol w:w="1224"/>
        <w:gridCol w:w="4392"/>
        <w:gridCol w:w="1872"/>
        <w:gridCol w:w="1469"/>
      </w:tblGrid>
      <w:tr>
        <w:trPr>
          <w:tblHeader w:val="true"/>
          <w:cantSplit/>
        </w:trPr>
        <w:tc>
          <w:tcPr>
            <w:tcW w:type="dxa" w:w="1224"/>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编号/日期</w:t>
            </w:r>
          </w:p>
        </w:tc>
        <w:tc>
          <w:tcPr>
            <w:tcW w:type="dxa" w:w="439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来源与主题</w:t>
            </w:r>
          </w:p>
        </w:tc>
        <w:tc>
          <w:tcPr>
            <w:tcW w:type="dxa" w:w="187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性质</w:t>
            </w:r>
          </w:p>
        </w:tc>
        <w:tc>
          <w:tcPr>
            <w:tcW w:type="dxa" w:w="1469"/>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链接</w:t>
            </w:r>
          </w:p>
        </w:tc>
      </w:tr>
      <w:tr>
        <w:trPr>
          <w:cantSplit/>
        </w:trPr>
        <w:tc>
          <w:tcPr>
            <w:tcW w:type="dxa" w:w="1224"/>
            <w:vAlign w:val="center"/>
            <w:tcMar>
              <w:top w:w="75" w:type="dxa"/>
              <w:start w:w="75" w:type="dxa"/>
              <w:bottom w:w="75" w:type="dxa"/>
              <w:end w:w="75" w:type="dxa"/>
            </w:tcMar>
          </w:tcPr>
          <w:p>
            <w:pPr>
              <w:spacing w:after="0" w:line="247" w:lineRule="auto"/>
              <w:jc w:val="center"/>
            </w:pPr>
            <w:r>
              <w:t>S1</w:t>
            </w:r>
            <w:r>
              <w:br/>
              <w:t>2026-09-09</w:t>
            </w:r>
          </w:p>
        </w:tc>
        <w:tc>
          <w:tcPr>
            <w:tcW w:type="dxa" w:w="4392"/>
            <w:vAlign w:val="center"/>
            <w:tcMar>
              <w:top w:w="75" w:type="dxa"/>
              <w:start w:w="75" w:type="dxa"/>
              <w:bottom w:w="75" w:type="dxa"/>
              <w:end w:w="75" w:type="dxa"/>
            </w:tcMar>
          </w:tcPr>
          <w:p>
            <w:pPr>
              <w:spacing w:after="0" w:line="247" w:lineRule="auto"/>
            </w:pPr>
            <w:r>
              <w:t>RASFF 2026.7973</w:t>
            </w:r>
            <w:r>
              <w:br/>
              <w:t>德国来源仔猪补充饲料成分与添加剂不合规</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24">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247" w:lineRule="auto"/>
              <w:jc w:val="center"/>
            </w:pPr>
            <w:r>
              <w:t>S2</w:t>
            </w:r>
            <w:r>
              <w:br/>
              <w:t>2026-09-08</w:t>
            </w:r>
          </w:p>
        </w:tc>
        <w:tc>
          <w:tcPr>
            <w:tcW w:type="dxa" w:w="4392"/>
            <w:vAlign w:val="center"/>
            <w:shd w:fill="F2F2F2"/>
            <w:tcMar>
              <w:top w:w="75" w:type="dxa"/>
              <w:start w:w="75" w:type="dxa"/>
              <w:bottom w:w="75" w:type="dxa"/>
              <w:end w:w="75" w:type="dxa"/>
            </w:tcMar>
          </w:tcPr>
          <w:p>
            <w:pPr>
              <w:spacing w:after="0" w:line="247" w:lineRule="auto"/>
            </w:pPr>
            <w:r>
              <w:t>美国 FDA / Fi 犬用补充剂</w:t>
            </w:r>
            <w:r>
              <w:br/>
              <w:t>潜在 Salmonella 污染自愿召回</w:t>
            </w:r>
          </w:p>
        </w:tc>
        <w:tc>
          <w:tcPr>
            <w:tcW w:type="dxa" w:w="1872"/>
            <w:vAlign w:val="center"/>
            <w:shd w:fill="F2F2F2"/>
            <w:tcMar>
              <w:top w:w="75" w:type="dxa"/>
              <w:start w:w="75" w:type="dxa"/>
              <w:bottom w:w="75" w:type="dxa"/>
              <w:end w:w="75" w:type="dxa"/>
            </w:tcMar>
          </w:tcPr>
          <w:p>
            <w:pPr>
              <w:spacing w:after="0" w:line="247" w:lineRule="auto"/>
            </w:pPr>
            <w:r>
              <w:t>美国官方召回</w:t>
            </w:r>
          </w:p>
        </w:tc>
        <w:tc>
          <w:tcPr>
            <w:tcW w:type="dxa" w:w="1469"/>
            <w:vAlign w:val="center"/>
            <w:shd w:fill="F2F2F2"/>
            <w:tcMar>
              <w:top w:w="75" w:type="dxa"/>
              <w:start w:w="75" w:type="dxa"/>
              <w:bottom w:w="75" w:type="dxa"/>
              <w:end w:w="75" w:type="dxa"/>
            </w:tcMar>
          </w:tcPr>
          <w:p>
            <w:pPr>
              <w:spacing w:after="0" w:line="240" w:lineRule="auto"/>
              <w:jc w:val="center"/>
            </w:pPr>
            <w:r/>
            <w:hyperlink r:id="rId25">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S3</w:t>
            </w:r>
            <w:r>
              <w:br/>
              <w:t>2026-09-11</w:t>
            </w:r>
          </w:p>
        </w:tc>
        <w:tc>
          <w:tcPr>
            <w:tcW w:type="dxa" w:w="4392"/>
            <w:vAlign w:val="center"/>
            <w:tcMar>
              <w:top w:w="75" w:type="dxa"/>
              <w:start w:w="75" w:type="dxa"/>
              <w:bottom w:w="75" w:type="dxa"/>
              <w:end w:w="75" w:type="dxa"/>
            </w:tcMar>
          </w:tcPr>
          <w:p>
            <w:pPr>
              <w:spacing w:after="0" w:line="247" w:lineRule="auto"/>
            </w:pPr>
            <w:r>
              <w:t>EUR-Lex（EU）2026/2027</w:t>
            </w:r>
            <w:r>
              <w:br/>
              <w:t>蜜蜂用 EDTA 钼螯合物饲料添加剂授权</w:t>
            </w:r>
          </w:p>
        </w:tc>
        <w:tc>
          <w:tcPr>
            <w:tcW w:type="dxa" w:w="1872"/>
            <w:vAlign w:val="center"/>
            <w:tcMar>
              <w:top w:w="75" w:type="dxa"/>
              <w:start w:w="75" w:type="dxa"/>
              <w:bottom w:w="75" w:type="dxa"/>
              <w:end w:w="75" w:type="dxa"/>
            </w:tcMar>
          </w:tcPr>
          <w:p>
            <w:pPr>
              <w:spacing w:after="0" w:line="247" w:lineRule="auto"/>
            </w:pPr>
            <w:r>
              <w:t>欧盟官方法规</w:t>
            </w:r>
          </w:p>
        </w:tc>
        <w:tc>
          <w:tcPr>
            <w:tcW w:type="dxa" w:w="1469"/>
            <w:vAlign w:val="center"/>
            <w:tcMar>
              <w:top w:w="75" w:type="dxa"/>
              <w:start w:w="75" w:type="dxa"/>
              <w:bottom w:w="75" w:type="dxa"/>
              <w:end w:w="75" w:type="dxa"/>
            </w:tcMar>
          </w:tcPr>
          <w:p>
            <w:pPr>
              <w:spacing w:after="0" w:line="240" w:lineRule="auto"/>
              <w:jc w:val="center"/>
            </w:pPr>
            <w:r/>
            <w:hyperlink r:id="rId26">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247" w:lineRule="auto"/>
              <w:jc w:val="center"/>
            </w:pPr>
            <w:r>
              <w:t>S4</w:t>
            </w:r>
            <w:r>
              <w:br/>
              <w:t>2026-09-10</w:t>
            </w:r>
          </w:p>
        </w:tc>
        <w:tc>
          <w:tcPr>
            <w:tcW w:type="dxa" w:w="4392"/>
            <w:vAlign w:val="center"/>
            <w:shd w:fill="F2F2F2"/>
            <w:tcMar>
              <w:top w:w="75" w:type="dxa"/>
              <w:start w:w="75" w:type="dxa"/>
              <w:bottom w:w="75" w:type="dxa"/>
              <w:end w:w="75" w:type="dxa"/>
            </w:tcMar>
          </w:tcPr>
          <w:p>
            <w:pPr>
              <w:spacing w:after="0" w:line="247" w:lineRule="auto"/>
            </w:pPr>
            <w:r>
              <w:t>EUR-Lex（EU）2026/2056</w:t>
            </w:r>
            <w:r>
              <w:br/>
              <w:t>成员国 HPAI 紧急措施更新</w:t>
            </w:r>
          </w:p>
        </w:tc>
        <w:tc>
          <w:tcPr>
            <w:tcW w:type="dxa" w:w="1872"/>
            <w:vAlign w:val="center"/>
            <w:shd w:fill="F2F2F2"/>
            <w:tcMar>
              <w:top w:w="75" w:type="dxa"/>
              <w:start w:w="75" w:type="dxa"/>
              <w:bottom w:w="75" w:type="dxa"/>
              <w:end w:w="75" w:type="dxa"/>
            </w:tcMar>
          </w:tcPr>
          <w:p>
            <w:pPr>
              <w:spacing w:after="0" w:line="247" w:lineRule="auto"/>
            </w:pPr>
            <w:r>
              <w:t>欧盟官方决定</w:t>
            </w:r>
          </w:p>
        </w:tc>
        <w:tc>
          <w:tcPr>
            <w:tcW w:type="dxa" w:w="1469"/>
            <w:vAlign w:val="center"/>
            <w:shd w:fill="F2F2F2"/>
            <w:tcMar>
              <w:top w:w="75" w:type="dxa"/>
              <w:start w:w="75" w:type="dxa"/>
              <w:bottom w:w="75" w:type="dxa"/>
              <w:end w:w="75" w:type="dxa"/>
            </w:tcMar>
          </w:tcPr>
          <w:p>
            <w:pPr>
              <w:spacing w:after="0" w:line="240" w:lineRule="auto"/>
              <w:jc w:val="center"/>
            </w:pPr>
            <w:r/>
            <w:hyperlink r:id="rId27">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S5</w:t>
            </w:r>
            <w:r>
              <w:br/>
              <w:t>2026-09-07</w:t>
            </w:r>
          </w:p>
        </w:tc>
        <w:tc>
          <w:tcPr>
            <w:tcW w:type="dxa" w:w="4392"/>
            <w:vAlign w:val="center"/>
            <w:tcMar>
              <w:top w:w="75" w:type="dxa"/>
              <w:start w:w="75" w:type="dxa"/>
              <w:bottom w:w="75" w:type="dxa"/>
              <w:end w:w="75" w:type="dxa"/>
            </w:tcMar>
          </w:tcPr>
          <w:p>
            <w:pPr>
              <w:spacing w:after="0" w:line="247" w:lineRule="auto"/>
            </w:pPr>
            <w:r>
              <w:t>EUR-Lex（EU）2026/2020</w:t>
            </w:r>
            <w:r>
              <w:br/>
              <w:t>美国禽类及禽产品准入清单调整</w:t>
            </w:r>
          </w:p>
        </w:tc>
        <w:tc>
          <w:tcPr>
            <w:tcW w:type="dxa" w:w="1872"/>
            <w:vAlign w:val="center"/>
            <w:tcMar>
              <w:top w:w="75" w:type="dxa"/>
              <w:start w:w="75" w:type="dxa"/>
              <w:bottom w:w="75" w:type="dxa"/>
              <w:end w:w="75" w:type="dxa"/>
            </w:tcMar>
          </w:tcPr>
          <w:p>
            <w:pPr>
              <w:spacing w:after="0" w:line="247" w:lineRule="auto"/>
            </w:pPr>
            <w:r>
              <w:t>欧盟官方法规</w:t>
            </w:r>
          </w:p>
        </w:tc>
        <w:tc>
          <w:tcPr>
            <w:tcW w:type="dxa" w:w="1469"/>
            <w:vAlign w:val="center"/>
            <w:tcMar>
              <w:top w:w="75" w:type="dxa"/>
              <w:start w:w="75" w:type="dxa"/>
              <w:bottom w:w="75" w:type="dxa"/>
              <w:end w:w="75" w:type="dxa"/>
            </w:tcMar>
          </w:tcPr>
          <w:p>
            <w:pPr>
              <w:spacing w:after="0" w:line="240" w:lineRule="auto"/>
              <w:jc w:val="center"/>
            </w:pPr>
            <w:r/>
            <w:hyperlink r:id="rId28">
              <w:r>
                <w:rPr>
                  <w:color w:val="0563C1"/>
                  <w:u w:val="single"/>
                  <w:rFonts w:eastAsia="宋体" w:ascii="宋体" w:hAnsi="宋体" w:cs="宋体"/>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247" w:lineRule="auto"/>
              <w:jc w:val="center"/>
            </w:pPr>
            <w:r>
              <w:t>S6</w:t>
            </w:r>
            <w:r>
              <w:br/>
              <w:t>2026-09-09</w:t>
            </w:r>
          </w:p>
        </w:tc>
        <w:tc>
          <w:tcPr>
            <w:tcW w:type="dxa" w:w="4392"/>
            <w:vAlign w:val="center"/>
            <w:shd w:fill="F2F2F2"/>
            <w:tcMar>
              <w:top w:w="75" w:type="dxa"/>
              <w:start w:w="75" w:type="dxa"/>
              <w:bottom w:w="75" w:type="dxa"/>
              <w:end w:w="75" w:type="dxa"/>
            </w:tcMar>
          </w:tcPr>
          <w:p>
            <w:pPr>
              <w:spacing w:after="0" w:line="247" w:lineRule="auto"/>
            </w:pPr>
            <w:r>
              <w:t>Nestlé / Purina 泰国</w:t>
            </w:r>
            <w:r>
              <w:br/>
              <w:t>投资 1.57 亿瑞士法郎扩建罗勇宠物食品工厂</w:t>
            </w:r>
          </w:p>
        </w:tc>
        <w:tc>
          <w:tcPr>
            <w:tcW w:type="dxa" w:w="1872"/>
            <w:vAlign w:val="center"/>
            <w:shd w:fill="F2F2F2"/>
            <w:tcMar>
              <w:top w:w="75" w:type="dxa"/>
              <w:start w:w="75" w:type="dxa"/>
              <w:bottom w:w="75" w:type="dxa"/>
              <w:end w:w="75" w:type="dxa"/>
            </w:tcMar>
          </w:tcPr>
          <w:p>
            <w:pPr>
              <w:spacing w:after="0" w:line="247" w:lineRule="auto"/>
            </w:pPr>
            <w:r>
              <w:t>企业官方公告</w:t>
            </w:r>
          </w:p>
        </w:tc>
        <w:tc>
          <w:tcPr>
            <w:tcW w:type="dxa" w:w="1469"/>
            <w:vAlign w:val="center"/>
            <w:shd w:fill="F2F2F2"/>
            <w:tcMar>
              <w:top w:w="75" w:type="dxa"/>
              <w:start w:w="75" w:type="dxa"/>
              <w:bottom w:w="75" w:type="dxa"/>
              <w:end w:w="75" w:type="dxa"/>
            </w:tcMar>
          </w:tcPr>
          <w:p>
            <w:pPr>
              <w:spacing w:after="0" w:line="240" w:lineRule="auto"/>
              <w:jc w:val="center"/>
            </w:pPr>
            <w:r/>
            <w:hyperlink r:id="rId29">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S7</w:t>
            </w:r>
            <w:r>
              <w:br/>
              <w:t>2026</w:t>
            </w:r>
          </w:p>
        </w:tc>
        <w:tc>
          <w:tcPr>
            <w:tcW w:type="dxa" w:w="4392"/>
            <w:vAlign w:val="center"/>
            <w:tcMar>
              <w:top w:w="75" w:type="dxa"/>
              <w:start w:w="75" w:type="dxa"/>
              <w:bottom w:w="75" w:type="dxa"/>
              <w:end w:w="75" w:type="dxa"/>
            </w:tcMar>
          </w:tcPr>
          <w:p>
            <w:pPr>
              <w:spacing w:after="0" w:line="247" w:lineRule="auto"/>
            </w:pPr>
            <w:r>
              <w:t>Physiological Research 75:645–657</w:t>
            </w:r>
            <w:r>
              <w:br/>
              <w:t>培养肉食品安全与质量风险综述</w:t>
            </w:r>
          </w:p>
        </w:tc>
        <w:tc>
          <w:tcPr>
            <w:tcW w:type="dxa" w:w="1872"/>
            <w:vAlign w:val="center"/>
            <w:tcMar>
              <w:top w:w="75" w:type="dxa"/>
              <w:start w:w="75" w:type="dxa"/>
              <w:bottom w:w="75" w:type="dxa"/>
              <w:end w:w="75" w:type="dxa"/>
            </w:tcMar>
          </w:tcPr>
          <w:p>
            <w:pPr>
              <w:spacing w:after="0" w:line="247" w:lineRule="auto"/>
            </w:pPr>
            <w:r>
              <w:t>同行评议综述</w:t>
            </w:r>
          </w:p>
        </w:tc>
        <w:tc>
          <w:tcPr>
            <w:tcW w:type="dxa" w:w="1469"/>
            <w:vAlign w:val="center"/>
            <w:tcMar>
              <w:top w:w="75" w:type="dxa"/>
              <w:start w:w="75" w:type="dxa"/>
              <w:bottom w:w="75" w:type="dxa"/>
              <w:end w:w="75" w:type="dxa"/>
            </w:tcMar>
          </w:tcPr>
          <w:p>
            <w:pPr>
              <w:spacing w:after="0" w:line="240" w:lineRule="auto"/>
              <w:jc w:val="center"/>
            </w:pPr>
            <w:r/>
            <w:hyperlink r:id="rId30">
              <w:r>
                <w:rPr>
                  <w:color w:val="0563C1"/>
                  <w:u w:val="single"/>
                  <w:rFonts w:eastAsia="宋体" w:ascii="宋体" w:hAnsi="宋体" w:cs="宋体"/>
                  <w:sz w:val="15"/>
                </w:rPr>
                <w:t>打开来源</w:t>
              </w:r>
            </w:hyperlink>
          </w:p>
        </w:tc>
      </w:tr>
    </w:tbl>
    <w:p>
      <w:pPr>
        <w:keepNext w:val="0"/>
        <w:spacing w:before="140" w:after="60" w:line="276" w:lineRule="auto"/>
      </w:pPr>
      <w:r>
        <w:rPr>
          <w:rFonts w:ascii="宋体" w:hAnsi="宋体" w:eastAsia="宋体" w:cs="宋体"/>
          <w:b w:val="0"/>
          <w:sz w:val="19"/>
        </w:rPr>
        <w:t>使用说明：本周报用于企业质量风险、法规情报和经营决策支持，不构成法律意见、产品合规批准、进口放行意见、采购指令或召回决定。官方通报、官方法规、企业公告和同行评议资料已按证据性质区分；最终判断应结合目标市场、配方与标签、供应链文件、检测结果和事实调查。</w:t>
      </w:r>
    </w:p>
    <w:p>
      <w:pPr>
        <w:keepNext w:val="0"/>
        <w:spacing w:before="120" w:after="60" w:line="276" w:lineRule="auto"/>
        <w:jc w:val="center"/>
      </w:pPr>
      <w:r>
        <w:rPr>
          <w:rFonts w:ascii="宋体" w:hAnsi="宋体" w:eastAsia="宋体" w:cs="宋体"/>
          <w:b w:val="0"/>
          <w:sz w:val="18"/>
        </w:rPr>
        <w:t>----------------------------------------结束----------------------------------------</w:t>
      </w:r>
    </w:p>
    <w:sectPr w:rsidR="00C95045" w:rsidRPr="00694756" w:rsidSect="00A203B4">
      <w:headerReference w:type="default" r:id="rId17"/>
      <w:footerReference w:type="default" r:id="rId18"/>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EA966" w14:textId="77777777" w:rsidR="007B3093" w:rsidRDefault="007B3093" w:rsidP="00A9502E">
      <w:pPr>
        <w:spacing w:before="0"/>
      </w:pPr>
      <w:r>
        <w:separator/>
      </w:r>
    </w:p>
  </w:endnote>
  <w:endnote w:type="continuationSeparator" w:id="0">
    <w:p w14:paraId="10C1EC84" w14:textId="77777777" w:rsidR="007B3093" w:rsidRDefault="007B3093" w:rsidP="00A9502E">
      <w:pPr>
        <w:spacing w:before="0"/>
      </w:pPr>
      <w:r>
        <w:continuationSeparator/>
      </w:r>
    </w:p>
  </w:endnote>
</w:endnotes>
</file>

<file path=word/fontTable.xml><?xml version="1.0" encoding="utf-8"?>
<w:fonts xmlns:w="http://schemas.openxmlformats.org/wordprocessingml/2006/main">
  <w:font w:name="Symbol">
    <w:charset w:val="00"/>
  </w:font>
  <w:font w:name="Wingdings">
    <w:charset w:val="00"/>
  </w:font>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07361"/>
      <w:docPartObj>
        <w:docPartGallery w:val="Page Numbers (Bottom of Page)"/>
        <w:docPartUnique/>
      </w:docPartObj>
    </w:sdtPr>
    <w:sdtEndPr>
      <w:rPr>
        <w:noProof/>
      </w:rPr>
    </w:sdtEndPr>
    <w:sdtContent>
      <w:p w14:paraId="4249988E" w14:textId="51DB7573" w:rsidR="00B34DFF" w:rsidRDefault="00B34DFF">
        <w:pPr>
          <w:pStyle w:val="a3"/>
          <w:jc w:val="right"/>
        </w:pPr>
        <w:r>
          <w:fldChar w:fldCharType="begin"/>
        </w:r>
        <w:r>
          <w:instrText xml:space="preserve"> PAGE   \* MERGEFORMAT </w:instrText>
        </w:r>
        <w:r>
          <w:fldChar w:fldCharType="separate"/>
        </w:r>
        <w:r>
          <w:rPr>
            <w:noProof/>
          </w:rPr>
          <w:t>2</w:t>
        </w:r>
        <w:r>
          <w:rPr>
            <w:noProof/>
          </w:rPr>
          <w:fldChar w:fldCharType="end"/>
        </w:r>
      </w:p>
    </w:sdtContent>
  </w:sdt>
  <w:p w14:paraId="2B558783" w14:textId="77777777" w:rsidR="00B34DFF" w:rsidRDefault="00B34DF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B3983" w14:textId="77777777" w:rsidR="007B3093" w:rsidRDefault="007B3093" w:rsidP="00A9502E">
      <w:pPr>
        <w:spacing w:before="0"/>
      </w:pPr>
      <w:r>
        <w:separator/>
      </w:r>
    </w:p>
  </w:footnote>
  <w:footnote w:type="continuationSeparator" w:id="0">
    <w:p w14:paraId="29DFC4E0" w14:textId="77777777" w:rsidR="007B3093" w:rsidRDefault="007B3093" w:rsidP="00A9502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F8F5" w14:textId="599A2B6D" w:rsidR="00A9502E" w:rsidRDefault="00A9502E">
    <w:pPr>
      <w:pStyle w:val="af9"/>
    </w:pPr>
    <w:r w:rsidRPr="00A9502E">
      <w:rPr>
        <w:noProof/>
      </w:rPr>
      <w:drawing>
        <wp:inline distT="0" distB="0" distL="0" distR="0" wp14:anchorId="2B18C46E" wp14:editId="15BAD590">
          <wp:extent cx="1880436" cy="885825"/>
          <wp:effectExtent l="0" t="0" r="5715" b="0"/>
          <wp:docPr id="11" name="Picture 10">
            <a:extLst xmlns:a="http://schemas.openxmlformats.org/drawingml/2006/main">
              <a:ext uri="{FF2B5EF4-FFF2-40B4-BE49-F238E27FC236}">
                <a16:creationId xmlns:a16="http://schemas.microsoft.com/office/drawing/2014/main" id="{85775F0B-6334-2F46-9B7D-AA2C76DF64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85775F0B-6334-2F46-9B7D-AA2C76DF647A}"/>
                      </a:ext>
                    </a:extLst>
                  </pic:cNvPr>
                  <pic:cNvPicPr>
                    <a:picLocks noChangeAspect="1"/>
                  </pic:cNvPicPr>
                </pic:nvPicPr>
                <pic:blipFill>
                  <a:blip r:embed="rId1" cstate="email">
                    <a:extLst>
                      <a:ext uri="{28A0092B-C50C-407E-A947-70E740481C1C}">
                        <a14:useLocalDpi xmlns:a14="http://schemas.microsoft.com/office/drawing/2010/main"/>
                      </a:ext>
                    </a:extLst>
                  </a:blip>
                  <a:stretch>
                    <a:fillRect/>
                  </a:stretch>
                </pic:blipFill>
                <pic:spPr>
                  <a:xfrm>
                    <a:off x="0" y="0"/>
                    <a:ext cx="1885981" cy="888437"/>
                  </a:xfrm>
                  <a:prstGeom prst="rect">
                    <a:avLst/>
                  </a:prstGeom>
                </pic:spPr>
              </pic:pic>
            </a:graphicData>
          </a:graphic>
        </wp:inline>
      </w:drawing>
    </w:r>
  </w:p>
  <w:p w14:paraId="6B864576" w14:textId="77777777" w:rsidR="00A9502E" w:rsidRDefault="00A9502E">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1AB1"/>
    <w:multiLevelType w:val="hybridMultilevel"/>
    <w:tmpl w:val="921E20BA"/>
    <w:lvl w:ilvl="0" w:tplc="147C37AE">
      <w:start w:val="2"/>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6CC7A47"/>
    <w:multiLevelType w:val="hybridMultilevel"/>
    <w:tmpl w:val="46021D8E"/>
    <w:lvl w:ilvl="0" w:tplc="DE5870DC">
      <w:start w:val="3"/>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9292059"/>
    <w:multiLevelType w:val="hybridMultilevel"/>
    <w:tmpl w:val="B7525452"/>
    <w:lvl w:ilvl="0" w:tplc="528EA63C">
      <w:start w:val="1"/>
      <w:numFmt w:val="decimal"/>
      <w:lvlText w:val="%1."/>
      <w:lvlJc w:val="left"/>
      <w:pPr>
        <w:ind w:left="360" w:hanging="360"/>
      </w:pPr>
      <w:rPr>
        <w:rFonts w:hint="default" w:ascii="黑体" w:hAnsi="黑体" w:eastAsia="黑体" w:cs="黑体"/>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D9842BE"/>
    <w:multiLevelType w:val="hybridMultilevel"/>
    <w:tmpl w:val="8352426C"/>
    <w:lvl w:ilvl="0" w:tplc="5E58E630">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76E794B"/>
    <w:multiLevelType w:val="hybridMultilevel"/>
    <w:tmpl w:val="11BCB492"/>
    <w:lvl w:ilvl="0" w:tplc="6B08A12E">
      <w:start w:val="8"/>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0CD0E09"/>
    <w:multiLevelType w:val="hybridMultilevel"/>
    <w:tmpl w:val="2E6A0BB6"/>
    <w:lvl w:ilvl="0" w:tplc="AB8C9454">
      <w:start w:val="1"/>
      <w:numFmt w:val="decimal"/>
      <w:pStyle w:val="Numbered1"/>
      <w:lvlText w:val="%1."/>
      <w:lvlJc w:val="left"/>
      <w:pPr>
        <w:ind w:left="1080" w:hanging="360"/>
      </w:pPr>
      <w:rPr>
        <w:rFonts w:hint="default" w:ascii="宋体" w:hAnsi="宋体" w:eastAsia="宋体" w:cs="宋体"/>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4B6843"/>
    <w:multiLevelType w:val="multilevel"/>
    <w:tmpl w:val="9BB01E42"/>
    <w:lvl w:ilvl="0">
      <w:start w:val="1"/>
      <w:numFmt w:val="decimal"/>
      <w:pStyle w:val="1"/>
      <w:lvlText w:val="%1"/>
      <w:lvlJc w:val="left"/>
      <w:pPr>
        <w:ind w:left="578" w:hanging="578"/>
      </w:pPr>
      <w:rPr>
        <w:rFonts w:hint="default" w:ascii="宋体" w:hAnsi="宋体" w:eastAsia="宋体" w:cs="宋体"/>
      </w:rPr>
    </w:lvl>
    <w:lvl w:ilvl="1">
      <w:start w:val="1"/>
      <w:numFmt w:val="decimal"/>
      <w:pStyle w:val="2"/>
      <w:lvlText w:val="%1.%2"/>
      <w:lvlJc w:val="left"/>
      <w:pPr>
        <w:ind w:left="576" w:hanging="576"/>
      </w:pPr>
      <w:rPr>
        <w:rFonts w:hint="default" w:ascii="宋体" w:hAnsi="宋体" w:eastAsia="宋体" w:cs="宋体"/>
      </w:rPr>
    </w:lvl>
    <w:lvl w:ilvl="2">
      <w:start w:val="1"/>
      <w:numFmt w:val="decimal"/>
      <w:pStyle w:val="3"/>
      <w:lvlText w:val="%1.%2.%3"/>
      <w:lvlJc w:val="left"/>
      <w:pPr>
        <w:ind w:left="720" w:hanging="720"/>
      </w:pPr>
      <w:rPr>
        <w:rFonts w:hint="default" w:ascii="宋体" w:hAnsi="宋体" w:eastAsia="宋体" w:cs="宋体"/>
      </w:rPr>
    </w:lvl>
    <w:lvl w:ilvl="3">
      <w:start w:val="1"/>
      <w:numFmt w:val="decimal"/>
      <w:pStyle w:val="4"/>
      <w:lvlText w:val="%1.%2.%3.%4"/>
      <w:lvlJc w:val="left"/>
      <w:pPr>
        <w:ind w:left="864" w:hanging="864"/>
      </w:pPr>
      <w:rPr>
        <w:rFonts w:hint="default" w:ascii="宋体" w:hAnsi="宋体" w:eastAsia="宋体" w:cs="宋体"/>
      </w:rPr>
    </w:lvl>
    <w:lvl w:ilvl="4">
      <w:start w:val="1"/>
      <w:numFmt w:val="decimal"/>
      <w:pStyle w:val="5"/>
      <w:lvlText w:val="%1.%2.%3.%4.%5"/>
      <w:lvlJc w:val="left"/>
      <w:pPr>
        <w:ind w:left="1008" w:hanging="1008"/>
      </w:pPr>
      <w:rPr>
        <w:rFonts w:hint="default" w:ascii="宋体" w:hAnsi="宋体" w:eastAsia="宋体" w:cs="宋体"/>
      </w:rPr>
    </w:lvl>
    <w:lvl w:ilvl="5">
      <w:start w:val="1"/>
      <w:numFmt w:val="decimal"/>
      <w:pStyle w:val="6"/>
      <w:lvlText w:val="%1.%2.%3.%4.%5.%6"/>
      <w:lvlJc w:val="left"/>
      <w:pPr>
        <w:ind w:left="1152" w:hanging="1152"/>
      </w:pPr>
      <w:rPr>
        <w:rFonts w:hint="default" w:ascii="宋体" w:hAnsi="宋体" w:eastAsia="宋体" w:cs="宋体"/>
      </w:rPr>
    </w:lvl>
    <w:lvl w:ilvl="6">
      <w:start w:val="1"/>
      <w:numFmt w:val="decimal"/>
      <w:pStyle w:val="7"/>
      <w:lvlText w:val="%1.%2.%3.%4.%5.%6.%7"/>
      <w:lvlJc w:val="left"/>
      <w:pPr>
        <w:ind w:left="1296" w:hanging="1296"/>
      </w:pPr>
      <w:rPr>
        <w:rFonts w:hint="default" w:ascii="宋体" w:hAnsi="宋体" w:eastAsia="宋体" w:cs="宋体"/>
      </w:rPr>
    </w:lvl>
    <w:lvl w:ilvl="7">
      <w:start w:val="1"/>
      <w:numFmt w:val="decimal"/>
      <w:pStyle w:val="8"/>
      <w:lvlText w:val="%1.%2.%3.%4.%5.%6.%7.%8"/>
      <w:lvlJc w:val="left"/>
      <w:pPr>
        <w:ind w:left="1440" w:hanging="1440"/>
      </w:pPr>
      <w:rPr>
        <w:rFonts w:hint="default" w:ascii="宋体" w:hAnsi="宋体" w:eastAsia="宋体" w:cs="宋体"/>
      </w:rPr>
    </w:lvl>
    <w:lvl w:ilvl="8">
      <w:start w:val="1"/>
      <w:numFmt w:val="decimal"/>
      <w:pStyle w:val="9"/>
      <w:lvlText w:val="%1.%2.%3.%4.%5.%6.%7.%8.%9"/>
      <w:lvlJc w:val="left"/>
      <w:pPr>
        <w:ind w:left="1584" w:hanging="1584"/>
      </w:pPr>
      <w:rPr>
        <w:rFonts w:hint="default" w:ascii="宋体" w:hAnsi="宋体" w:eastAsia="宋体" w:cs="宋体"/>
      </w:rPr>
    </w:lvl>
  </w:abstractNum>
  <w:abstractNum w:abstractNumId="7" w15:restartNumberingAfterBreak="0">
    <w:nsid w:val="25376C5A"/>
    <w:multiLevelType w:val="hybridMultilevel"/>
    <w:tmpl w:val="DF647C0E"/>
    <w:lvl w:ilvl="0" w:tplc="9AB82920">
      <w:start w:val="5"/>
      <w:numFmt w:val="decimal"/>
      <w:lvlText w:val="%1"/>
      <w:lvlJc w:val="left"/>
      <w:pPr>
        <w:ind w:left="360" w:hanging="360"/>
      </w:pPr>
      <w:rPr>
        <w:rFonts w:hint="default" w:ascii="宋体" w:hAnsi="宋体" w:eastAsia="宋体" w:cs="宋体"/>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F3F39FE"/>
    <w:multiLevelType w:val="hybridMultilevel"/>
    <w:tmpl w:val="1D8035DC"/>
    <w:lvl w:ilvl="0" w:tplc="FE7458D4">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3294A5A"/>
    <w:multiLevelType w:val="hybridMultilevel"/>
    <w:tmpl w:val="D6F86318"/>
    <w:lvl w:ilvl="0" w:tplc="0504ED22">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D1724F7"/>
    <w:multiLevelType w:val="hybridMultilevel"/>
    <w:tmpl w:val="38B25A2C"/>
    <w:lvl w:ilvl="0" w:tplc="6CFA0F4C">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511E3A15"/>
    <w:multiLevelType w:val="hybridMultilevel"/>
    <w:tmpl w:val="94FE716C"/>
    <w:lvl w:ilvl="0" w:tplc="BB3A3018">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5A4A1DC9"/>
    <w:multiLevelType w:val="hybridMultilevel"/>
    <w:tmpl w:val="22F47766"/>
    <w:lvl w:ilvl="0" w:tplc="19B48822">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F175213"/>
    <w:multiLevelType w:val="multilevel"/>
    <w:tmpl w:val="100C001D"/>
    <w:styleLink w:val="SGS"/>
    <w:lvl w:ilvl="0">
      <w:start w:val="1"/>
      <w:numFmt w:val="bullet"/>
      <w:lvlText w:val="■"/>
      <w:lvlJc w:val="left"/>
      <w:pPr>
        <w:ind w:left="360" w:hanging="360"/>
      </w:pPr>
      <w:rPr>
        <w:rFonts w:ascii="宋体" w:hAnsi="宋体" w:hint="default" w:eastAsia="宋体" w:cs="宋体"/>
        <w:color w:val="FF9900"/>
      </w:rPr>
    </w:lvl>
    <w:lvl w:ilvl="1">
      <w:start w:val="1"/>
      <w:numFmt w:val="bullet"/>
      <w:lvlText w:val="■"/>
      <w:lvlJc w:val="left"/>
      <w:pPr>
        <w:ind w:left="720" w:hanging="360"/>
      </w:pPr>
      <w:rPr>
        <w:rFonts w:ascii="宋体" w:hAnsi="宋体" w:hint="default" w:eastAsia="宋体" w:cs="宋体"/>
        <w:color w:val="FF9900"/>
        <w:sz w:val="16"/>
      </w:rPr>
    </w:lvl>
    <w:lvl w:ilvl="2">
      <w:start w:val="1"/>
      <w:numFmt w:val="bullet"/>
      <w:lvlText w:val="•"/>
      <w:lvlJc w:val="left"/>
      <w:pPr>
        <w:ind w:left="1080" w:hanging="360"/>
      </w:pPr>
      <w:rPr>
        <w:rFonts w:ascii="宋体" w:hAnsi="宋体" w:hint="default" w:eastAsia="宋体" w:cs="宋体"/>
        <w:color w:val="000000" w:themeColor="text1"/>
      </w:rPr>
    </w:lvl>
    <w:lvl w:ilvl="3">
      <w:start w:val="1"/>
      <w:numFmt w:val="bullet"/>
      <w:lvlText w:val="▪"/>
      <w:lvlJc w:val="left"/>
      <w:pPr>
        <w:ind w:left="1440" w:hanging="360"/>
      </w:pPr>
      <w:rPr>
        <w:rFonts w:ascii="宋体" w:hAnsi="宋体" w:hint="default" w:eastAsia="宋体" w:cs="宋体"/>
        <w:color w:val="000000" w:themeColor="text1"/>
      </w:rPr>
    </w:lvl>
    <w:lvl w:ilvl="4">
      <w:start w:val="1"/>
      <w:numFmt w:val="bullet"/>
      <w:lvlText w:val="-"/>
      <w:lvlJc w:val="left"/>
      <w:pPr>
        <w:ind w:left="1800" w:hanging="360"/>
      </w:pPr>
      <w:rPr>
        <w:rFonts w:ascii="宋体" w:hAnsi="宋体" w:hint="default" w:eastAsia="宋体" w:cs="宋体"/>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10C4F32"/>
    <w:multiLevelType w:val="hybridMultilevel"/>
    <w:tmpl w:val="84508CAC"/>
    <w:lvl w:ilvl="0" w:tplc="D5FE2826">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38C5117"/>
    <w:multiLevelType w:val="multilevel"/>
    <w:tmpl w:val="100C001D"/>
    <w:styleLink w:val="Style1"/>
    <w:lvl w:ilvl="0">
      <w:start w:val="1"/>
      <w:numFmt w:val="bullet"/>
      <w:lvlText w:val="■"/>
      <w:lvlJc w:val="left"/>
      <w:pPr>
        <w:ind w:left="360" w:hanging="360"/>
      </w:pPr>
      <w:rPr>
        <w:rFonts w:ascii="宋体" w:hAnsi="宋体" w:hint="default" w:eastAsia="宋体" w:cs="宋体"/>
        <w:color w:val="FF9900"/>
      </w:rPr>
    </w:lvl>
    <w:lvl w:ilvl="1">
      <w:start w:val="1"/>
      <w:numFmt w:val="bullet"/>
      <w:lvlText w:val="■"/>
      <w:lvlJc w:val="left"/>
      <w:pPr>
        <w:ind w:left="720" w:hanging="360"/>
      </w:pPr>
      <w:rPr>
        <w:rFonts w:ascii="宋体" w:hAnsi="宋体" w:hint="default" w:eastAsia="宋体" w:cs="宋体"/>
        <w:color w:val="FF9900"/>
        <w:sz w:val="16"/>
      </w:rPr>
    </w:lvl>
    <w:lvl w:ilvl="2">
      <w:start w:val="1"/>
      <w:numFmt w:val="bullet"/>
      <w:lvlText w:val="•"/>
      <w:lvlJc w:val="left"/>
      <w:pPr>
        <w:ind w:left="1080" w:hanging="360"/>
      </w:pPr>
      <w:rPr>
        <w:rFonts w:ascii="宋体" w:hAnsi="宋体" w:hint="default" w:eastAsia="宋体" w:cs="宋体"/>
        <w:color w:val="000000" w:themeColor="text1"/>
      </w:rPr>
    </w:lvl>
    <w:lvl w:ilvl="3">
      <w:start w:val="1"/>
      <w:numFmt w:val="bullet"/>
      <w:lvlText w:val="▪"/>
      <w:lvlJc w:val="left"/>
      <w:pPr>
        <w:ind w:left="1440" w:hanging="360"/>
      </w:pPr>
      <w:rPr>
        <w:rFonts w:ascii="宋体" w:hAnsi="宋体" w:hint="default" w:eastAsia="宋体" w:cs="宋体"/>
        <w:color w:val="000000" w:themeColor="text1"/>
      </w:rPr>
    </w:lvl>
    <w:lvl w:ilvl="4">
      <w:start w:val="1"/>
      <w:numFmt w:val="bullet"/>
      <w:lvlText w:val="-"/>
      <w:lvlJc w:val="left"/>
      <w:pPr>
        <w:ind w:left="1800" w:hanging="360"/>
      </w:pPr>
      <w:rPr>
        <w:rFonts w:ascii="宋体" w:hAnsi="宋体" w:hint="default" w:eastAsia="宋体" w:cs="宋体"/>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827002F"/>
    <w:multiLevelType w:val="hybridMultilevel"/>
    <w:tmpl w:val="82C666C2"/>
    <w:lvl w:ilvl="0" w:tplc="4A143A22">
      <w:start w:val="2"/>
      <w:numFmt w:val="decimal"/>
      <w:lvlText w:val="%1"/>
      <w:lvlJc w:val="left"/>
      <w:pPr>
        <w:ind w:left="720" w:hanging="360"/>
      </w:pPr>
      <w:rPr>
        <w:rFonts w:hint="default" w:ascii="宋体" w:hAnsi="宋体" w:eastAsia="宋体" w:cs="宋体"/>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1E195A"/>
    <w:multiLevelType w:val="hybridMultilevel"/>
    <w:tmpl w:val="3356B02C"/>
    <w:lvl w:ilvl="0" w:tplc="50F8C110">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0D15105"/>
    <w:multiLevelType w:val="hybridMultilevel"/>
    <w:tmpl w:val="79F64A5A"/>
    <w:lvl w:ilvl="0" w:tplc="D5FA7D64">
      <w:start w:val="1"/>
      <w:numFmt w:val="bullet"/>
      <w:pStyle w:val="List1"/>
      <w:lvlText w:val=""/>
      <w:lvlJc w:val="left"/>
      <w:pPr>
        <w:ind w:left="720" w:hanging="360"/>
      </w:pPr>
      <w:rPr>
        <w:rFonts w:ascii="Symbol" w:hAnsi="Symbol" w:hint="default" w:eastAsia="Symbol" w:cs="Symbol"/>
      </w:rPr>
    </w:lvl>
    <w:lvl w:ilvl="1" w:tplc="08090003" w:tentative="1">
      <w:start w:val="1"/>
      <w:numFmt w:val="bullet"/>
      <w:lvlText w:val="o"/>
      <w:lvlJc w:val="left"/>
      <w:pPr>
        <w:ind w:left="1440" w:hanging="360"/>
      </w:pPr>
      <w:rPr>
        <w:rFonts w:ascii="宋体" w:hAnsi="宋体" w:cs="宋体" w:hint="default" w:eastAsia="宋体"/>
      </w:rPr>
    </w:lvl>
    <w:lvl w:ilvl="2" w:tplc="08090005" w:tentative="1">
      <w:start w:val="1"/>
      <w:numFmt w:val="bullet"/>
      <w:lvlText w:val=""/>
      <w:lvlJc w:val="left"/>
      <w:pPr>
        <w:ind w:left="2160" w:hanging="360"/>
      </w:pPr>
      <w:rPr>
        <w:rFonts w:ascii="Wingdings" w:hAnsi="Wingdings" w:hint="default" w:eastAsia="Wingdings" w:cs="Wingdings"/>
      </w:rPr>
    </w:lvl>
    <w:lvl w:ilvl="3" w:tplc="08090001" w:tentative="1">
      <w:start w:val="1"/>
      <w:numFmt w:val="bullet"/>
      <w:lvlText w:val=""/>
      <w:lvlJc w:val="left"/>
      <w:pPr>
        <w:ind w:left="2880" w:hanging="360"/>
      </w:pPr>
      <w:rPr>
        <w:rFonts w:ascii="Symbol" w:hAnsi="Symbol" w:hint="default" w:eastAsia="Symbol" w:cs="Symbol"/>
      </w:rPr>
    </w:lvl>
    <w:lvl w:ilvl="4" w:tplc="08090003" w:tentative="1">
      <w:start w:val="1"/>
      <w:numFmt w:val="bullet"/>
      <w:lvlText w:val="o"/>
      <w:lvlJc w:val="left"/>
      <w:pPr>
        <w:ind w:left="3600" w:hanging="360"/>
      </w:pPr>
      <w:rPr>
        <w:rFonts w:ascii="宋体" w:hAnsi="宋体" w:cs="宋体" w:hint="default" w:eastAsia="宋体"/>
      </w:rPr>
    </w:lvl>
    <w:lvl w:ilvl="5" w:tplc="08090005" w:tentative="1">
      <w:start w:val="1"/>
      <w:numFmt w:val="bullet"/>
      <w:lvlText w:val=""/>
      <w:lvlJc w:val="left"/>
      <w:pPr>
        <w:ind w:left="4320" w:hanging="360"/>
      </w:pPr>
      <w:rPr>
        <w:rFonts w:ascii="Wingdings" w:hAnsi="Wingdings" w:hint="default" w:eastAsia="Wingdings" w:cs="Wingdings"/>
      </w:rPr>
    </w:lvl>
    <w:lvl w:ilvl="6" w:tplc="08090001" w:tentative="1">
      <w:start w:val="1"/>
      <w:numFmt w:val="bullet"/>
      <w:lvlText w:val=""/>
      <w:lvlJc w:val="left"/>
      <w:pPr>
        <w:ind w:left="5040" w:hanging="360"/>
      </w:pPr>
      <w:rPr>
        <w:rFonts w:ascii="Symbol" w:hAnsi="Symbol" w:hint="default" w:eastAsia="Symbol" w:cs="Symbol"/>
      </w:rPr>
    </w:lvl>
    <w:lvl w:ilvl="7" w:tplc="08090003" w:tentative="1">
      <w:start w:val="1"/>
      <w:numFmt w:val="bullet"/>
      <w:lvlText w:val="o"/>
      <w:lvlJc w:val="left"/>
      <w:pPr>
        <w:ind w:left="5760" w:hanging="360"/>
      </w:pPr>
      <w:rPr>
        <w:rFonts w:ascii="宋体" w:hAnsi="宋体" w:cs="宋体" w:hint="default" w:eastAsia="宋体"/>
      </w:rPr>
    </w:lvl>
    <w:lvl w:ilvl="8" w:tplc="08090005" w:tentative="1">
      <w:start w:val="1"/>
      <w:numFmt w:val="bullet"/>
      <w:lvlText w:val=""/>
      <w:lvlJc w:val="left"/>
      <w:pPr>
        <w:ind w:left="6480" w:hanging="360"/>
      </w:pPr>
      <w:rPr>
        <w:rFonts w:ascii="Wingdings" w:hAnsi="Wingdings" w:hint="default" w:eastAsia="Wingdings" w:cs="Wingdings"/>
      </w:rPr>
    </w:lvl>
  </w:abstractNum>
  <w:abstractNum w:abstractNumId="19" w15:restartNumberingAfterBreak="0">
    <w:nsid w:val="76167438"/>
    <w:multiLevelType w:val="hybridMultilevel"/>
    <w:tmpl w:val="13D400FE"/>
    <w:lvl w:ilvl="0" w:tplc="C6E8660A">
      <w:start w:val="3"/>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7D85D9B"/>
    <w:multiLevelType w:val="hybridMultilevel"/>
    <w:tmpl w:val="6826FB3C"/>
    <w:lvl w:ilvl="0" w:tplc="65781C92">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79144477"/>
    <w:multiLevelType w:val="hybridMultilevel"/>
    <w:tmpl w:val="6CEC001C"/>
    <w:lvl w:ilvl="0" w:tplc="BACEED9E">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62343580">
    <w:abstractNumId w:val="6"/>
  </w:num>
  <w:num w:numId="2" w16cid:durableId="2062556140">
    <w:abstractNumId w:val="18"/>
  </w:num>
  <w:num w:numId="3" w16cid:durableId="720207222">
    <w:abstractNumId w:val="5"/>
  </w:num>
  <w:num w:numId="4" w16cid:durableId="624040483">
    <w:abstractNumId w:val="15"/>
  </w:num>
  <w:num w:numId="5" w16cid:durableId="1367104030">
    <w:abstractNumId w:val="13"/>
  </w:num>
  <w:num w:numId="6" w16cid:durableId="1558011995">
    <w:abstractNumId w:val="5"/>
  </w:num>
  <w:num w:numId="7" w16cid:durableId="1477408203">
    <w:abstractNumId w:val="18"/>
  </w:num>
  <w:num w:numId="8" w16cid:durableId="1869486266">
    <w:abstractNumId w:val="6"/>
  </w:num>
  <w:num w:numId="9" w16cid:durableId="332882075">
    <w:abstractNumId w:val="6"/>
  </w:num>
  <w:num w:numId="10" w16cid:durableId="541752175">
    <w:abstractNumId w:val="6"/>
  </w:num>
  <w:num w:numId="11" w16cid:durableId="59602614">
    <w:abstractNumId w:val="6"/>
  </w:num>
  <w:num w:numId="12" w16cid:durableId="1738360202">
    <w:abstractNumId w:val="6"/>
  </w:num>
  <w:num w:numId="13" w16cid:durableId="1886453761">
    <w:abstractNumId w:val="6"/>
  </w:num>
  <w:num w:numId="14" w16cid:durableId="1813478220">
    <w:abstractNumId w:val="6"/>
  </w:num>
  <w:num w:numId="15" w16cid:durableId="1392078643">
    <w:abstractNumId w:val="6"/>
  </w:num>
  <w:num w:numId="16" w16cid:durableId="85620886">
    <w:abstractNumId w:val="6"/>
  </w:num>
  <w:num w:numId="17" w16cid:durableId="292178531">
    <w:abstractNumId w:val="6"/>
  </w:num>
  <w:num w:numId="18" w16cid:durableId="547960984">
    <w:abstractNumId w:val="18"/>
  </w:num>
  <w:num w:numId="19" w16cid:durableId="262153012">
    <w:abstractNumId w:val="5"/>
  </w:num>
  <w:num w:numId="20" w16cid:durableId="198930355">
    <w:abstractNumId w:val="6"/>
  </w:num>
  <w:num w:numId="21" w16cid:durableId="2107114912">
    <w:abstractNumId w:val="15"/>
  </w:num>
  <w:num w:numId="22" w16cid:durableId="2131387687">
    <w:abstractNumId w:val="13"/>
  </w:num>
  <w:num w:numId="23" w16cid:durableId="617223694">
    <w:abstractNumId w:val="6"/>
  </w:num>
  <w:num w:numId="24" w16cid:durableId="308174482">
    <w:abstractNumId w:val="11"/>
  </w:num>
  <w:num w:numId="25" w16cid:durableId="1829781595">
    <w:abstractNumId w:val="4"/>
  </w:num>
  <w:num w:numId="26" w16cid:durableId="2021006674">
    <w:abstractNumId w:val="12"/>
  </w:num>
  <w:num w:numId="27" w16cid:durableId="955986422">
    <w:abstractNumId w:val="14"/>
  </w:num>
  <w:num w:numId="28" w16cid:durableId="429206661">
    <w:abstractNumId w:val="17"/>
  </w:num>
  <w:num w:numId="29" w16cid:durableId="1451507811">
    <w:abstractNumId w:val="7"/>
  </w:num>
  <w:num w:numId="30" w16cid:durableId="1811554898">
    <w:abstractNumId w:val="1"/>
  </w:num>
  <w:num w:numId="31" w16cid:durableId="789667805">
    <w:abstractNumId w:val="19"/>
  </w:num>
  <w:num w:numId="32" w16cid:durableId="931353020">
    <w:abstractNumId w:val="6"/>
  </w:num>
  <w:num w:numId="33" w16cid:durableId="1117529531">
    <w:abstractNumId w:val="6"/>
  </w:num>
  <w:num w:numId="34" w16cid:durableId="150172186">
    <w:abstractNumId w:val="6"/>
  </w:num>
  <w:num w:numId="35" w16cid:durableId="2052875427">
    <w:abstractNumId w:val="6"/>
  </w:num>
  <w:num w:numId="36" w16cid:durableId="195625374">
    <w:abstractNumId w:val="6"/>
  </w:num>
  <w:num w:numId="37" w16cid:durableId="2134783426">
    <w:abstractNumId w:val="0"/>
  </w:num>
  <w:num w:numId="38" w16cid:durableId="1803503662">
    <w:abstractNumId w:val="6"/>
  </w:num>
  <w:num w:numId="39" w16cid:durableId="641812255">
    <w:abstractNumId w:val="10"/>
  </w:num>
  <w:num w:numId="40" w16cid:durableId="1249341533">
    <w:abstractNumId w:val="9"/>
  </w:num>
  <w:num w:numId="41" w16cid:durableId="1900240095">
    <w:abstractNumId w:val="20"/>
  </w:num>
  <w:num w:numId="42" w16cid:durableId="1827277005">
    <w:abstractNumId w:val="21"/>
  </w:num>
  <w:num w:numId="43" w16cid:durableId="1036351446">
    <w:abstractNumId w:val="3"/>
  </w:num>
  <w:num w:numId="44" w16cid:durableId="1474062415">
    <w:abstractNumId w:val="8"/>
  </w:num>
  <w:num w:numId="45" w16cid:durableId="17701299">
    <w:abstractNumId w:val="16"/>
  </w:num>
  <w:num w:numId="46" w16cid:durableId="319504811">
    <w:abstractNumId w:val="6"/>
  </w:num>
  <w:num w:numId="47" w16cid:durableId="333266917">
    <w:abstractNumId w:val="6"/>
  </w:num>
  <w:num w:numId="48" w16cid:durableId="175211997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9F"/>
    <w:rsid w:val="0001524D"/>
    <w:rsid w:val="0005001B"/>
    <w:rsid w:val="00051572"/>
    <w:rsid w:val="000551F0"/>
    <w:rsid w:val="00063B07"/>
    <w:rsid w:val="000723E1"/>
    <w:rsid w:val="00072972"/>
    <w:rsid w:val="000732FD"/>
    <w:rsid w:val="00075016"/>
    <w:rsid w:val="00080335"/>
    <w:rsid w:val="00086974"/>
    <w:rsid w:val="000944A8"/>
    <w:rsid w:val="0009785F"/>
    <w:rsid w:val="000B0FED"/>
    <w:rsid w:val="000B2B7F"/>
    <w:rsid w:val="000B4456"/>
    <w:rsid w:val="000B50AA"/>
    <w:rsid w:val="000B5B1E"/>
    <w:rsid w:val="000B5F22"/>
    <w:rsid w:val="000C4601"/>
    <w:rsid w:val="000D4E4F"/>
    <w:rsid w:val="001000FA"/>
    <w:rsid w:val="00124F98"/>
    <w:rsid w:val="001404F4"/>
    <w:rsid w:val="00146D57"/>
    <w:rsid w:val="00155265"/>
    <w:rsid w:val="0017011F"/>
    <w:rsid w:val="00174F75"/>
    <w:rsid w:val="00175800"/>
    <w:rsid w:val="0019769E"/>
    <w:rsid w:val="001B0020"/>
    <w:rsid w:val="001B03D9"/>
    <w:rsid w:val="001B189F"/>
    <w:rsid w:val="001B6633"/>
    <w:rsid w:val="001B702B"/>
    <w:rsid w:val="001B7436"/>
    <w:rsid w:val="001C685E"/>
    <w:rsid w:val="001D0B06"/>
    <w:rsid w:val="001D49ED"/>
    <w:rsid w:val="001E3D3B"/>
    <w:rsid w:val="00205687"/>
    <w:rsid w:val="00206087"/>
    <w:rsid w:val="00216EC5"/>
    <w:rsid w:val="00223E52"/>
    <w:rsid w:val="00226ED0"/>
    <w:rsid w:val="00233BF0"/>
    <w:rsid w:val="00237DAE"/>
    <w:rsid w:val="00241F99"/>
    <w:rsid w:val="00242237"/>
    <w:rsid w:val="00256A14"/>
    <w:rsid w:val="00267266"/>
    <w:rsid w:val="00274058"/>
    <w:rsid w:val="00276085"/>
    <w:rsid w:val="002874F5"/>
    <w:rsid w:val="00291BE2"/>
    <w:rsid w:val="002A66F6"/>
    <w:rsid w:val="002A6E6E"/>
    <w:rsid w:val="002C0321"/>
    <w:rsid w:val="002C2F8E"/>
    <w:rsid w:val="002C6BB9"/>
    <w:rsid w:val="002D6D5B"/>
    <w:rsid w:val="002E0A86"/>
    <w:rsid w:val="00307AF3"/>
    <w:rsid w:val="003108BB"/>
    <w:rsid w:val="003133DC"/>
    <w:rsid w:val="0032700C"/>
    <w:rsid w:val="0033744B"/>
    <w:rsid w:val="00347880"/>
    <w:rsid w:val="00356A35"/>
    <w:rsid w:val="00362537"/>
    <w:rsid w:val="00366301"/>
    <w:rsid w:val="003870CE"/>
    <w:rsid w:val="00392802"/>
    <w:rsid w:val="00396417"/>
    <w:rsid w:val="003D383C"/>
    <w:rsid w:val="003E236B"/>
    <w:rsid w:val="003E4636"/>
    <w:rsid w:val="003F1603"/>
    <w:rsid w:val="003F5070"/>
    <w:rsid w:val="0040190E"/>
    <w:rsid w:val="0040795B"/>
    <w:rsid w:val="004107E1"/>
    <w:rsid w:val="004131DE"/>
    <w:rsid w:val="00414E5D"/>
    <w:rsid w:val="00421688"/>
    <w:rsid w:val="00437072"/>
    <w:rsid w:val="00437399"/>
    <w:rsid w:val="004408A2"/>
    <w:rsid w:val="004449B6"/>
    <w:rsid w:val="004504A4"/>
    <w:rsid w:val="00464CCD"/>
    <w:rsid w:val="00473D8E"/>
    <w:rsid w:val="00474F6D"/>
    <w:rsid w:val="00491008"/>
    <w:rsid w:val="004A7626"/>
    <w:rsid w:val="004B7A3A"/>
    <w:rsid w:val="004C40AF"/>
    <w:rsid w:val="004D4292"/>
    <w:rsid w:val="004E2C22"/>
    <w:rsid w:val="004F045E"/>
    <w:rsid w:val="004F14A2"/>
    <w:rsid w:val="00500259"/>
    <w:rsid w:val="0050261E"/>
    <w:rsid w:val="00513219"/>
    <w:rsid w:val="0051487F"/>
    <w:rsid w:val="00520378"/>
    <w:rsid w:val="00523446"/>
    <w:rsid w:val="00533155"/>
    <w:rsid w:val="005368E3"/>
    <w:rsid w:val="0056178F"/>
    <w:rsid w:val="005666AB"/>
    <w:rsid w:val="00567FE1"/>
    <w:rsid w:val="00577692"/>
    <w:rsid w:val="00587723"/>
    <w:rsid w:val="0059162E"/>
    <w:rsid w:val="005958A2"/>
    <w:rsid w:val="005A60A7"/>
    <w:rsid w:val="005B0BB7"/>
    <w:rsid w:val="005C105C"/>
    <w:rsid w:val="005C5B5D"/>
    <w:rsid w:val="005D50D1"/>
    <w:rsid w:val="005D7FA0"/>
    <w:rsid w:val="005F0704"/>
    <w:rsid w:val="005F56BF"/>
    <w:rsid w:val="00607EA5"/>
    <w:rsid w:val="006108C0"/>
    <w:rsid w:val="006319E2"/>
    <w:rsid w:val="00642B0C"/>
    <w:rsid w:val="00651DFA"/>
    <w:rsid w:val="00671B99"/>
    <w:rsid w:val="00675BF6"/>
    <w:rsid w:val="00677767"/>
    <w:rsid w:val="00692D7D"/>
    <w:rsid w:val="00694756"/>
    <w:rsid w:val="006B382B"/>
    <w:rsid w:val="006B5D43"/>
    <w:rsid w:val="006C3F59"/>
    <w:rsid w:val="006D555B"/>
    <w:rsid w:val="006E20EC"/>
    <w:rsid w:val="006F0E5A"/>
    <w:rsid w:val="00700C3D"/>
    <w:rsid w:val="007027FC"/>
    <w:rsid w:val="007047B5"/>
    <w:rsid w:val="007064E9"/>
    <w:rsid w:val="00722DC1"/>
    <w:rsid w:val="00727447"/>
    <w:rsid w:val="007329E5"/>
    <w:rsid w:val="0073564A"/>
    <w:rsid w:val="00742BA6"/>
    <w:rsid w:val="00753525"/>
    <w:rsid w:val="007608F3"/>
    <w:rsid w:val="00761864"/>
    <w:rsid w:val="007651A9"/>
    <w:rsid w:val="00771B86"/>
    <w:rsid w:val="00781BFD"/>
    <w:rsid w:val="0078330F"/>
    <w:rsid w:val="00784215"/>
    <w:rsid w:val="00796B72"/>
    <w:rsid w:val="007A5782"/>
    <w:rsid w:val="007A71F3"/>
    <w:rsid w:val="007A7759"/>
    <w:rsid w:val="007B3093"/>
    <w:rsid w:val="007B6F35"/>
    <w:rsid w:val="007C22EC"/>
    <w:rsid w:val="007D4FB0"/>
    <w:rsid w:val="007D5879"/>
    <w:rsid w:val="007D5C5A"/>
    <w:rsid w:val="007E35A4"/>
    <w:rsid w:val="007F159A"/>
    <w:rsid w:val="007F40E0"/>
    <w:rsid w:val="0081311A"/>
    <w:rsid w:val="0081368A"/>
    <w:rsid w:val="00820DE8"/>
    <w:rsid w:val="00823EFC"/>
    <w:rsid w:val="0082528E"/>
    <w:rsid w:val="00837F04"/>
    <w:rsid w:val="00841C84"/>
    <w:rsid w:val="00857A30"/>
    <w:rsid w:val="008722C9"/>
    <w:rsid w:val="008822D1"/>
    <w:rsid w:val="00883640"/>
    <w:rsid w:val="008940F8"/>
    <w:rsid w:val="008A16E4"/>
    <w:rsid w:val="008A4C9E"/>
    <w:rsid w:val="008C0E63"/>
    <w:rsid w:val="008D0EB8"/>
    <w:rsid w:val="008D1150"/>
    <w:rsid w:val="00901E69"/>
    <w:rsid w:val="009054FC"/>
    <w:rsid w:val="00906082"/>
    <w:rsid w:val="009157DF"/>
    <w:rsid w:val="00917681"/>
    <w:rsid w:val="00924507"/>
    <w:rsid w:val="00934D61"/>
    <w:rsid w:val="00947615"/>
    <w:rsid w:val="00960FEB"/>
    <w:rsid w:val="00974500"/>
    <w:rsid w:val="009772B3"/>
    <w:rsid w:val="00981971"/>
    <w:rsid w:val="00983820"/>
    <w:rsid w:val="00986573"/>
    <w:rsid w:val="00987E28"/>
    <w:rsid w:val="009A6D8E"/>
    <w:rsid w:val="009A75A5"/>
    <w:rsid w:val="009B2ACF"/>
    <w:rsid w:val="009B3D99"/>
    <w:rsid w:val="009B4E71"/>
    <w:rsid w:val="009C49B5"/>
    <w:rsid w:val="009C6EDF"/>
    <w:rsid w:val="009C7993"/>
    <w:rsid w:val="009C7BD8"/>
    <w:rsid w:val="009D2393"/>
    <w:rsid w:val="009D3951"/>
    <w:rsid w:val="009E5DC0"/>
    <w:rsid w:val="009E6DE7"/>
    <w:rsid w:val="009F386F"/>
    <w:rsid w:val="009F4A7D"/>
    <w:rsid w:val="00A13E9F"/>
    <w:rsid w:val="00A1453A"/>
    <w:rsid w:val="00A154BE"/>
    <w:rsid w:val="00A203B4"/>
    <w:rsid w:val="00A252D0"/>
    <w:rsid w:val="00A25AE2"/>
    <w:rsid w:val="00A25C83"/>
    <w:rsid w:val="00A326B6"/>
    <w:rsid w:val="00A36FA5"/>
    <w:rsid w:val="00A402D9"/>
    <w:rsid w:val="00A43B7D"/>
    <w:rsid w:val="00A56416"/>
    <w:rsid w:val="00A67582"/>
    <w:rsid w:val="00A9502E"/>
    <w:rsid w:val="00AB1178"/>
    <w:rsid w:val="00AB3B45"/>
    <w:rsid w:val="00AB684D"/>
    <w:rsid w:val="00AC22BB"/>
    <w:rsid w:val="00AE37DF"/>
    <w:rsid w:val="00AE5B9A"/>
    <w:rsid w:val="00AE71BA"/>
    <w:rsid w:val="00B05D00"/>
    <w:rsid w:val="00B11E98"/>
    <w:rsid w:val="00B201E3"/>
    <w:rsid w:val="00B208C7"/>
    <w:rsid w:val="00B34DFF"/>
    <w:rsid w:val="00B36452"/>
    <w:rsid w:val="00B403C5"/>
    <w:rsid w:val="00B40C4D"/>
    <w:rsid w:val="00B468B7"/>
    <w:rsid w:val="00B4696C"/>
    <w:rsid w:val="00B60A2C"/>
    <w:rsid w:val="00B63048"/>
    <w:rsid w:val="00B657B6"/>
    <w:rsid w:val="00B81FD7"/>
    <w:rsid w:val="00B865E8"/>
    <w:rsid w:val="00B903C3"/>
    <w:rsid w:val="00B9287D"/>
    <w:rsid w:val="00B95C7B"/>
    <w:rsid w:val="00BB5FC9"/>
    <w:rsid w:val="00BC686C"/>
    <w:rsid w:val="00BE21A1"/>
    <w:rsid w:val="00BF7273"/>
    <w:rsid w:val="00C060A3"/>
    <w:rsid w:val="00C101E4"/>
    <w:rsid w:val="00C174A5"/>
    <w:rsid w:val="00C17C10"/>
    <w:rsid w:val="00C26065"/>
    <w:rsid w:val="00C4049A"/>
    <w:rsid w:val="00C460E8"/>
    <w:rsid w:val="00C557FB"/>
    <w:rsid w:val="00C5651B"/>
    <w:rsid w:val="00C57D61"/>
    <w:rsid w:val="00C72CF6"/>
    <w:rsid w:val="00C774F1"/>
    <w:rsid w:val="00C8150C"/>
    <w:rsid w:val="00C91D6E"/>
    <w:rsid w:val="00C95045"/>
    <w:rsid w:val="00CA2053"/>
    <w:rsid w:val="00CB67F2"/>
    <w:rsid w:val="00CD1ED8"/>
    <w:rsid w:val="00CD4ED3"/>
    <w:rsid w:val="00CD518D"/>
    <w:rsid w:val="00CE72B0"/>
    <w:rsid w:val="00CF0145"/>
    <w:rsid w:val="00CF0D56"/>
    <w:rsid w:val="00CF34C0"/>
    <w:rsid w:val="00D14A10"/>
    <w:rsid w:val="00D2744C"/>
    <w:rsid w:val="00D305B5"/>
    <w:rsid w:val="00D40467"/>
    <w:rsid w:val="00D46E54"/>
    <w:rsid w:val="00D531B5"/>
    <w:rsid w:val="00D67EE3"/>
    <w:rsid w:val="00D724D2"/>
    <w:rsid w:val="00D756B4"/>
    <w:rsid w:val="00D81DCA"/>
    <w:rsid w:val="00D93292"/>
    <w:rsid w:val="00D93CE4"/>
    <w:rsid w:val="00DA1E0F"/>
    <w:rsid w:val="00DA5AB0"/>
    <w:rsid w:val="00DB343A"/>
    <w:rsid w:val="00DB6449"/>
    <w:rsid w:val="00DC553D"/>
    <w:rsid w:val="00DD01FE"/>
    <w:rsid w:val="00DD15EB"/>
    <w:rsid w:val="00DF4307"/>
    <w:rsid w:val="00E00C8B"/>
    <w:rsid w:val="00E14A99"/>
    <w:rsid w:val="00E224AA"/>
    <w:rsid w:val="00E225A4"/>
    <w:rsid w:val="00E269F5"/>
    <w:rsid w:val="00E275AD"/>
    <w:rsid w:val="00E31893"/>
    <w:rsid w:val="00E46A0C"/>
    <w:rsid w:val="00E549AD"/>
    <w:rsid w:val="00E65166"/>
    <w:rsid w:val="00E77D4B"/>
    <w:rsid w:val="00E82E31"/>
    <w:rsid w:val="00E85C06"/>
    <w:rsid w:val="00EA28BE"/>
    <w:rsid w:val="00EA5B9F"/>
    <w:rsid w:val="00EB7065"/>
    <w:rsid w:val="00EC0772"/>
    <w:rsid w:val="00ED0730"/>
    <w:rsid w:val="00ED3B66"/>
    <w:rsid w:val="00ED6AAB"/>
    <w:rsid w:val="00EE20EB"/>
    <w:rsid w:val="00EE417A"/>
    <w:rsid w:val="00EE784A"/>
    <w:rsid w:val="00EF2EA4"/>
    <w:rsid w:val="00EF5714"/>
    <w:rsid w:val="00EF6D2E"/>
    <w:rsid w:val="00EF75F3"/>
    <w:rsid w:val="00F0162F"/>
    <w:rsid w:val="00F04B2F"/>
    <w:rsid w:val="00F14771"/>
    <w:rsid w:val="00F22C80"/>
    <w:rsid w:val="00F30A01"/>
    <w:rsid w:val="00F42356"/>
    <w:rsid w:val="00F507A6"/>
    <w:rsid w:val="00F57112"/>
    <w:rsid w:val="00F673EB"/>
    <w:rsid w:val="00F73806"/>
    <w:rsid w:val="00F7474D"/>
    <w:rsid w:val="00F75313"/>
    <w:rsid w:val="00F75EA8"/>
    <w:rsid w:val="00F81EAD"/>
    <w:rsid w:val="00F93CA7"/>
    <w:rsid w:val="00F93DE9"/>
    <w:rsid w:val="00FA32C1"/>
    <w:rsid w:val="00FA5983"/>
    <w:rsid w:val="00FA5B27"/>
    <w:rsid w:val="00FC2961"/>
    <w:rsid w:val="00FC34F9"/>
    <w:rsid w:val="00FC71F7"/>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EF77E"/>
  <w15:chartTrackingRefBased/>
  <w15:docId w15:val="{C3E6729A-3B69-4FD5-8010-3C93F2FE79A4}"/>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宋体" w:hAnsi="宋体" w:cstheme="majorBidi" w:eastAsia="宋体" w:cs="宋体"/>
        <w:lang w:val="en-GB" w:eastAsia="zh-CN" w:bidi="ar-SA"/>
      </w:rPr>
    </w:rPrDefault>
    <w:pPrDefault>
      <w:pPr>
        <w:spacing w:before="120"/>
        <w:ind w:left="709" w:hanging="709"/>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2CF6"/>
    <w:pPr>
      <w:ind w:left="0" w:firstLine="0"/>
    </w:pPr>
    <w:rPr>
      <w:rFonts w:cs="宋体" w:ascii="宋体" w:hAnsi="宋体" w:eastAsia="宋体"/>
      <w:color w:val="222222"/>
      <w:sz w:val="21"/>
      <w:szCs w:val="24"/>
      <w:lang w:eastAsia="fr-FR"/>
    </w:rPr>
  </w:style>
  <w:style w:type="paragraph" w:styleId="1">
    <w:name w:val="heading 1"/>
    <w:basedOn w:val="a"/>
    <w:next w:val="a"/>
    <w:link w:val="10"/>
    <w:uiPriority w:val="9"/>
    <w:qFormat/>
    <w:rsid w:val="00B403C5"/>
    <w:pPr>
      <w:keepNext/>
      <w:numPr>
        <w:numId w:val="23"/>
      </w:numPr>
      <w:spacing w:before="360" w:after="120"/>
      <w:outlineLvl w:val="0"/>
    </w:pPr>
    <w:rPr>
      <w:rFonts w:cs="黑体" w:ascii="黑体" w:hAnsi="黑体" w:eastAsia="黑体"/>
      <w:b/>
      <w:caps/>
      <w:color w:val="FF6600"/>
      <w:spacing w:val="20"/>
    </w:rPr>
  </w:style>
  <w:style w:type="paragraph" w:styleId="2">
    <w:name w:val="heading 2"/>
    <w:basedOn w:val="a"/>
    <w:next w:val="a"/>
    <w:link w:val="20"/>
    <w:uiPriority w:val="9"/>
    <w:qFormat/>
    <w:rsid w:val="00B403C5"/>
    <w:pPr>
      <w:numPr>
        <w:ilvl w:val="1"/>
        <w:numId w:val="23"/>
      </w:numPr>
      <w:pBdr>
        <w:bottom w:val="single" w:sz="4" w:space="1" w:color="FF6600"/>
      </w:pBdr>
      <w:spacing w:before="240"/>
      <w:outlineLvl w:val="1"/>
    </w:pPr>
    <w:rPr>
      <w:rFonts w:cs="黑体" w:ascii="黑体" w:hAnsi="黑体" w:eastAsia="黑体"/>
      <w:b/>
      <w:iCs/>
      <w:smallCaps/>
      <w:color w:val="363636"/>
      <w:spacing w:val="15"/>
      <w:kern w:val="32"/>
      <w:sz w:val="22"/>
    </w:rPr>
  </w:style>
  <w:style w:type="paragraph" w:styleId="3">
    <w:name w:val="heading 3"/>
    <w:basedOn w:val="a"/>
    <w:next w:val="a"/>
    <w:link w:val="30"/>
    <w:uiPriority w:val="9"/>
    <w:qFormat/>
    <w:rsid w:val="00B403C5"/>
    <w:pPr>
      <w:keepNext/>
      <w:numPr>
        <w:ilvl w:val="2"/>
        <w:numId w:val="23"/>
      </w:numPr>
      <w:spacing w:before="240" w:after="60"/>
      <w:outlineLvl w:val="2"/>
    </w:pPr>
    <w:rPr>
      <w:rFonts w:cs="黑体" w:ascii="黑体" w:hAnsi="黑体" w:eastAsia="黑体"/>
      <w:b/>
      <w:bCs/>
      <w:smallCaps/>
      <w:color w:val="FF6600"/>
    </w:rPr>
  </w:style>
  <w:style w:type="paragraph" w:styleId="4">
    <w:name w:val="heading 4"/>
    <w:basedOn w:val="a"/>
    <w:next w:val="a"/>
    <w:link w:val="40"/>
    <w:uiPriority w:val="9"/>
    <w:qFormat/>
    <w:rsid w:val="00B403C5"/>
    <w:pPr>
      <w:keepNext/>
      <w:numPr>
        <w:ilvl w:val="3"/>
        <w:numId w:val="23"/>
      </w:numPr>
      <w:outlineLvl w:val="3"/>
    </w:pPr>
    <w:rPr>
      <w:rFonts w:cstheme="majorBidi" w:ascii="宋体" w:hAnsi="宋体" w:eastAsia="宋体" w:cs="宋体"/>
      <w:bCs/>
      <w:sz w:val="18"/>
      <w:szCs w:val="28"/>
      <w:lang w:eastAsia="en-US" w:bidi="en-US"/>
    </w:rPr>
  </w:style>
  <w:style w:type="paragraph" w:styleId="5">
    <w:name w:val="heading 5"/>
    <w:basedOn w:val="a"/>
    <w:next w:val="a"/>
    <w:link w:val="50"/>
    <w:uiPriority w:val="9"/>
    <w:qFormat/>
    <w:rsid w:val="00B403C5"/>
    <w:pPr>
      <w:keepNext/>
      <w:keepLines/>
      <w:numPr>
        <w:ilvl w:val="4"/>
        <w:numId w:val="23"/>
      </w:numPr>
      <w:outlineLvl w:val="4"/>
    </w:pPr>
    <w:rPr>
      <w:sz w:val="18"/>
      <w:szCs w:val="22"/>
    </w:rPr>
  </w:style>
  <w:style w:type="paragraph" w:styleId="6">
    <w:name w:val="heading 6"/>
    <w:basedOn w:val="a"/>
    <w:next w:val="a"/>
    <w:link w:val="60"/>
    <w:uiPriority w:val="9"/>
    <w:qFormat/>
    <w:rsid w:val="00B403C5"/>
    <w:pPr>
      <w:numPr>
        <w:ilvl w:val="5"/>
        <w:numId w:val="23"/>
      </w:numPr>
      <w:spacing w:before="240" w:after="60"/>
      <w:outlineLvl w:val="5"/>
    </w:pPr>
    <w:rPr>
      <w:bCs/>
      <w:sz w:val="18"/>
    </w:rPr>
  </w:style>
  <w:style w:type="paragraph" w:styleId="7">
    <w:name w:val="heading 7"/>
    <w:basedOn w:val="a"/>
    <w:next w:val="a"/>
    <w:link w:val="70"/>
    <w:uiPriority w:val="9"/>
    <w:qFormat/>
    <w:rsid w:val="00B403C5"/>
    <w:pPr>
      <w:numPr>
        <w:ilvl w:val="6"/>
        <w:numId w:val="23"/>
      </w:numPr>
      <w:spacing w:before="240" w:after="60"/>
      <w:outlineLvl w:val="6"/>
    </w:pPr>
    <w:rPr>
      <w:sz w:val="18"/>
    </w:rPr>
  </w:style>
  <w:style w:type="paragraph" w:styleId="8">
    <w:name w:val="heading 8"/>
    <w:basedOn w:val="a"/>
    <w:next w:val="a"/>
    <w:link w:val="80"/>
    <w:uiPriority w:val="9"/>
    <w:qFormat/>
    <w:rsid w:val="00B403C5"/>
    <w:pPr>
      <w:numPr>
        <w:ilvl w:val="7"/>
        <w:numId w:val="23"/>
      </w:numPr>
      <w:spacing w:before="240" w:after="60"/>
      <w:outlineLvl w:val="7"/>
    </w:pPr>
    <w:rPr>
      <w:iCs/>
      <w:sz w:val="18"/>
    </w:rPr>
  </w:style>
  <w:style w:type="paragraph" w:styleId="9">
    <w:name w:val="heading 9"/>
    <w:basedOn w:val="a"/>
    <w:next w:val="a"/>
    <w:link w:val="90"/>
    <w:uiPriority w:val="9"/>
    <w:qFormat/>
    <w:rsid w:val="00B403C5"/>
    <w:pPr>
      <w:numPr>
        <w:ilvl w:val="8"/>
        <w:numId w:val="23"/>
      </w:numPr>
      <w:spacing w:before="240" w:after="60"/>
      <w:outlineLvl w:val="8"/>
    </w:pPr>
    <w:rPr>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03C5"/>
    <w:rPr>
      <w:rFonts w:cs="黑体" w:ascii="黑体" w:hAnsi="黑体" w:eastAsia="黑体"/>
      <w:b/>
      <w:caps/>
      <w:color w:val="FF6600"/>
      <w:spacing w:val="20"/>
      <w:szCs w:val="24"/>
      <w:lang w:eastAsia="fr-FR"/>
    </w:rPr>
  </w:style>
  <w:style w:type="character" w:customStyle="1" w:styleId="20">
    <w:name w:val="标题 2 字符"/>
    <w:basedOn w:val="a0"/>
    <w:link w:val="2"/>
    <w:uiPriority w:val="9"/>
    <w:rsid w:val="00051572"/>
    <w:rPr>
      <w:rFonts w:cs="黑体" w:ascii="黑体" w:hAnsi="黑体" w:eastAsia="黑体"/>
      <w:b/>
      <w:iCs/>
      <w:smallCaps/>
      <w:color w:val="363636"/>
      <w:spacing w:val="15"/>
      <w:kern w:val="32"/>
      <w:sz w:val="22"/>
      <w:szCs w:val="24"/>
      <w:lang w:eastAsia="fr-FR"/>
    </w:rPr>
  </w:style>
  <w:style w:type="character" w:customStyle="1" w:styleId="30">
    <w:name w:val="标题 3 字符"/>
    <w:basedOn w:val="a0"/>
    <w:link w:val="3"/>
    <w:uiPriority w:val="9"/>
    <w:rsid w:val="00051572"/>
    <w:rPr>
      <w:rFonts w:cs="黑体" w:ascii="黑体" w:hAnsi="黑体" w:eastAsia="黑体"/>
      <w:b/>
      <w:bCs/>
      <w:smallCaps/>
      <w:color w:val="FF6600"/>
      <w:szCs w:val="24"/>
      <w:lang w:eastAsia="fr-FR"/>
    </w:rPr>
  </w:style>
  <w:style w:type="character" w:customStyle="1" w:styleId="40">
    <w:name w:val="标题 4 字符"/>
    <w:basedOn w:val="a0"/>
    <w:link w:val="4"/>
    <w:uiPriority w:val="9"/>
    <w:rsid w:val="00051572"/>
    <w:rPr>
      <w:rFonts w:ascii="宋体" w:hAnsi="宋体" w:eastAsia="宋体" w:cs="宋体"/>
      <w:bCs/>
      <w:sz w:val="18"/>
      <w:szCs w:val="28"/>
      <w:lang w:bidi="en-US"/>
    </w:rPr>
  </w:style>
  <w:style w:type="character" w:customStyle="1" w:styleId="50">
    <w:name w:val="标题 5 字符"/>
    <w:basedOn w:val="a0"/>
    <w:link w:val="5"/>
    <w:uiPriority w:val="9"/>
    <w:rsid w:val="00051572"/>
    <w:rPr>
      <w:rFonts w:cs="宋体" w:ascii="宋体" w:hAnsi="宋体" w:eastAsia="宋体"/>
      <w:sz w:val="18"/>
      <w:szCs w:val="22"/>
      <w:lang w:eastAsia="fr-FR"/>
    </w:rPr>
  </w:style>
  <w:style w:type="character" w:customStyle="1" w:styleId="60">
    <w:name w:val="标题 6 字符"/>
    <w:basedOn w:val="a0"/>
    <w:link w:val="6"/>
    <w:uiPriority w:val="9"/>
    <w:rsid w:val="00051572"/>
    <w:rPr>
      <w:rFonts w:cs="宋体" w:ascii="宋体" w:hAnsi="宋体" w:eastAsia="宋体"/>
      <w:bCs/>
      <w:sz w:val="18"/>
      <w:szCs w:val="24"/>
      <w:lang w:eastAsia="fr-FR"/>
    </w:rPr>
  </w:style>
  <w:style w:type="character" w:customStyle="1" w:styleId="70">
    <w:name w:val="标题 7 字符"/>
    <w:basedOn w:val="a0"/>
    <w:link w:val="7"/>
    <w:uiPriority w:val="9"/>
    <w:rsid w:val="00051572"/>
    <w:rPr>
      <w:rFonts w:cs="宋体" w:ascii="宋体" w:hAnsi="宋体" w:eastAsia="宋体"/>
      <w:sz w:val="18"/>
      <w:szCs w:val="24"/>
      <w:lang w:eastAsia="fr-FR"/>
    </w:rPr>
  </w:style>
  <w:style w:type="character" w:customStyle="1" w:styleId="80">
    <w:name w:val="标题 8 字符"/>
    <w:basedOn w:val="a0"/>
    <w:link w:val="8"/>
    <w:uiPriority w:val="9"/>
    <w:rsid w:val="00051572"/>
    <w:rPr>
      <w:rFonts w:cs="宋体" w:ascii="宋体" w:hAnsi="宋体" w:eastAsia="宋体"/>
      <w:iCs/>
      <w:sz w:val="18"/>
      <w:szCs w:val="24"/>
      <w:lang w:eastAsia="fr-FR"/>
    </w:rPr>
  </w:style>
  <w:style w:type="character" w:customStyle="1" w:styleId="90">
    <w:name w:val="标题 9 字符"/>
    <w:basedOn w:val="a0"/>
    <w:link w:val="9"/>
    <w:uiPriority w:val="9"/>
    <w:rsid w:val="00051572"/>
    <w:rPr>
      <w:rFonts w:cs="宋体" w:ascii="宋体" w:hAnsi="宋体" w:eastAsia="宋体"/>
      <w:sz w:val="18"/>
      <w:szCs w:val="24"/>
      <w:lang w:eastAsia="fr-FR"/>
    </w:rPr>
  </w:style>
  <w:style w:type="paragraph" w:styleId="a3">
    <w:name w:val="footer"/>
    <w:basedOn w:val="a"/>
    <w:link w:val="a4"/>
    <w:uiPriority w:val="99"/>
    <w:qFormat/>
    <w:rsid w:val="00051572"/>
    <w:pPr>
      <w:tabs>
        <w:tab w:val="center" w:pos="4513"/>
        <w:tab w:val="right" w:pos="9026"/>
      </w:tabs>
    </w:pPr>
    <w:rPr>
      <w:rFonts w:cstheme="majorBidi" w:ascii="宋体" w:hAnsi="宋体" w:eastAsia="宋体" w:cs="宋体"/>
      <w:sz w:val="16"/>
      <w:szCs w:val="20"/>
      <w:lang w:eastAsia="en-US" w:bidi="en-US"/>
    </w:rPr>
  </w:style>
  <w:style w:type="character" w:customStyle="1" w:styleId="a4">
    <w:name w:val="页脚 字符"/>
    <w:basedOn w:val="a0"/>
    <w:link w:val="a3"/>
    <w:uiPriority w:val="99"/>
    <w:rsid w:val="00051572"/>
    <w:rPr>
      <w:rFonts w:ascii="宋体" w:hAnsi="宋体" w:eastAsia="宋体" w:cs="宋体"/>
      <w:sz w:val="16"/>
      <w:lang w:bidi="en-US"/>
    </w:rPr>
  </w:style>
  <w:style w:type="paragraph" w:styleId="a5">
    <w:name w:val="Title"/>
    <w:basedOn w:val="a"/>
    <w:next w:val="a"/>
    <w:link w:val="a6"/>
    <w:uiPriority w:val="10"/>
    <w:qFormat/>
    <w:rsid w:val="00051572"/>
    <w:pPr>
      <w:spacing w:before="240" w:after="60"/>
      <w:jc w:val="center"/>
      <w:outlineLvl w:val="0"/>
    </w:pPr>
    <w:rPr>
      <w:rFonts w:cstheme="majorBidi" w:ascii="黑体" w:hAnsi="黑体" w:eastAsia="黑体" w:cs="黑体"/>
      <w:b/>
      <w:bCs/>
      <w:kern w:val="28"/>
      <w:szCs w:val="32"/>
      <w:u w:val="single"/>
      <w:lang w:eastAsia="en-US" w:bidi="en-US"/>
    </w:rPr>
  </w:style>
  <w:style w:type="character" w:customStyle="1" w:styleId="a6">
    <w:name w:val="标题 字符"/>
    <w:basedOn w:val="a0"/>
    <w:link w:val="a5"/>
    <w:uiPriority w:val="10"/>
    <w:rsid w:val="00051572"/>
    <w:rPr>
      <w:rFonts w:ascii="黑体" w:hAnsi="黑体" w:eastAsia="黑体" w:cs="黑体"/>
      <w:b/>
      <w:bCs/>
      <w:kern w:val="28"/>
      <w:szCs w:val="32"/>
      <w:u w:val="single"/>
      <w:lang w:bidi="en-US"/>
    </w:rPr>
  </w:style>
  <w:style w:type="paragraph" w:styleId="a7">
    <w:name w:val="Subtitle"/>
    <w:basedOn w:val="a"/>
    <w:next w:val="a"/>
    <w:link w:val="a8"/>
    <w:uiPriority w:val="11"/>
    <w:qFormat/>
    <w:rsid w:val="00051572"/>
    <w:pPr>
      <w:spacing w:after="60"/>
      <w:jc w:val="center"/>
      <w:outlineLvl w:val="1"/>
    </w:pPr>
    <w:rPr>
      <w:rFonts w:cstheme="majorBidi" w:ascii="宋体" w:hAnsi="宋体" w:eastAsia="宋体" w:cs="宋体"/>
      <w:szCs w:val="20"/>
      <w:lang w:eastAsia="en-US" w:bidi="en-US"/>
    </w:rPr>
  </w:style>
  <w:style w:type="character" w:customStyle="1" w:styleId="a8">
    <w:name w:val="副标题 字符"/>
    <w:basedOn w:val="a0"/>
    <w:link w:val="a7"/>
    <w:uiPriority w:val="11"/>
    <w:rsid w:val="00051572"/>
    <w:rPr>
      <w:rFonts w:ascii="宋体" w:hAnsi="宋体" w:eastAsia="宋体" w:cs="宋体"/>
      <w:lang w:bidi="en-US"/>
    </w:rPr>
  </w:style>
  <w:style w:type="character" w:styleId="a9">
    <w:name w:val="Hyperlink"/>
    <w:basedOn w:val="a0"/>
    <w:uiPriority w:val="99"/>
    <w:qFormat/>
    <w:rsid w:val="00051572"/>
    <w:rPr>
      <w:rFonts w:ascii="宋体" w:hAnsi="宋体" w:eastAsia="宋体" w:cs="宋体"/>
      <w:color w:val="FF6600"/>
      <w:sz w:val="20"/>
      <w:u w:val="single"/>
    </w:rPr>
  </w:style>
  <w:style w:type="character" w:styleId="aa">
    <w:name w:val="FollowedHyperlink"/>
    <w:basedOn w:val="a0"/>
    <w:uiPriority w:val="99"/>
    <w:qFormat/>
    <w:rsid w:val="00051572"/>
    <w:rPr>
      <w:rFonts w:ascii="宋体" w:hAnsi="宋体" w:eastAsia="宋体" w:cs="宋体"/>
      <w:i/>
      <w:color w:val="363636"/>
      <w:sz w:val="20"/>
      <w:u w:val="single"/>
    </w:rPr>
  </w:style>
  <w:style w:type="character" w:styleId="ab">
    <w:name w:val="Strong"/>
    <w:basedOn w:val="a0"/>
    <w:uiPriority w:val="22"/>
    <w:qFormat/>
    <w:rsid w:val="00051572"/>
    <w:rPr>
      <w:b/>
      <w:bCs/>
    </w:rPr>
  </w:style>
  <w:style w:type="character" w:styleId="ac">
    <w:name w:val="Emphasis"/>
    <w:basedOn w:val="a0"/>
    <w:uiPriority w:val="20"/>
    <w:qFormat/>
    <w:rsid w:val="00051572"/>
    <w:rPr>
      <w:rFonts w:ascii="黑体" w:hAnsi="黑体" w:eastAsia="黑体" w:cs="黑体"/>
      <w:b/>
      <w:i/>
      <w:iCs/>
    </w:rPr>
  </w:style>
  <w:style w:type="paragraph" w:styleId="ad">
    <w:name w:val="No Spacing"/>
    <w:basedOn w:val="a"/>
    <w:link w:val="ae"/>
    <w:uiPriority w:val="1"/>
    <w:qFormat/>
    <w:rsid w:val="00051572"/>
    <w:rPr>
      <w:rFonts w:cstheme="majorBidi" w:ascii="宋体" w:hAnsi="宋体" w:eastAsia="宋体" w:cs="宋体"/>
      <w:szCs w:val="32"/>
      <w:lang w:eastAsia="en-US" w:bidi="en-US"/>
    </w:rPr>
  </w:style>
  <w:style w:type="character" w:customStyle="1" w:styleId="ae">
    <w:name w:val="无间隔 字符"/>
    <w:basedOn w:val="a0"/>
    <w:link w:val="ad"/>
    <w:uiPriority w:val="1"/>
    <w:rsid w:val="00051572"/>
    <w:rPr>
      <w:rFonts w:ascii="宋体" w:hAnsi="宋体" w:eastAsia="宋体" w:cs="宋体"/>
      <w:szCs w:val="32"/>
      <w:lang w:bidi="en-US"/>
    </w:rPr>
  </w:style>
  <w:style w:type="paragraph" w:styleId="af">
    <w:name w:val="List Paragraph"/>
    <w:basedOn w:val="a"/>
    <w:uiPriority w:val="34"/>
    <w:qFormat/>
    <w:rsid w:val="00051572"/>
    <w:pPr>
      <w:ind w:left="720"/>
      <w:contextualSpacing/>
    </w:pPr>
  </w:style>
  <w:style w:type="paragraph" w:styleId="af0">
    <w:name w:val="Quote"/>
    <w:basedOn w:val="a"/>
    <w:next w:val="a"/>
    <w:link w:val="af1"/>
    <w:uiPriority w:val="29"/>
    <w:qFormat/>
    <w:rsid w:val="00051572"/>
    <w:rPr>
      <w:rFonts w:cstheme="majorBidi" w:ascii="宋体" w:hAnsi="宋体" w:eastAsia="宋体" w:cs="宋体"/>
      <w:i/>
      <w:szCs w:val="20"/>
      <w:lang w:eastAsia="en-US" w:bidi="en-US"/>
    </w:rPr>
  </w:style>
  <w:style w:type="character" w:customStyle="1" w:styleId="af1">
    <w:name w:val="引用 字符"/>
    <w:basedOn w:val="a0"/>
    <w:link w:val="af0"/>
    <w:uiPriority w:val="29"/>
    <w:rsid w:val="00051572"/>
    <w:rPr>
      <w:rFonts w:ascii="宋体" w:hAnsi="宋体" w:eastAsia="宋体" w:cs="宋体"/>
      <w:i/>
      <w:lang w:bidi="en-US"/>
    </w:rPr>
  </w:style>
  <w:style w:type="paragraph" w:styleId="af2">
    <w:name w:val="Intense Quote"/>
    <w:basedOn w:val="a"/>
    <w:next w:val="a"/>
    <w:link w:val="af3"/>
    <w:uiPriority w:val="30"/>
    <w:qFormat/>
    <w:rsid w:val="00051572"/>
    <w:pPr>
      <w:ind w:left="720" w:right="720"/>
    </w:pPr>
    <w:rPr>
      <w:rFonts w:cstheme="majorBidi" w:ascii="黑体" w:hAnsi="黑体" w:eastAsia="黑体" w:cs="黑体"/>
      <w:b/>
      <w:i/>
      <w:szCs w:val="20"/>
      <w:lang w:eastAsia="en-US" w:bidi="en-US"/>
    </w:rPr>
  </w:style>
  <w:style w:type="character" w:customStyle="1" w:styleId="af3">
    <w:name w:val="明显引用 字符"/>
    <w:basedOn w:val="a0"/>
    <w:link w:val="af2"/>
    <w:uiPriority w:val="30"/>
    <w:rsid w:val="00051572"/>
    <w:rPr>
      <w:rFonts w:ascii="黑体" w:hAnsi="黑体" w:eastAsia="黑体" w:cs="黑体"/>
      <w:b/>
      <w:i/>
      <w:lang w:bidi="en-US"/>
    </w:rPr>
  </w:style>
  <w:style w:type="character" w:styleId="af4">
    <w:name w:val="Subtle Emphasis"/>
    <w:uiPriority w:val="19"/>
    <w:qFormat/>
    <w:rsid w:val="00051572"/>
    <w:rPr>
      <w:i/>
      <w:color w:val="5A5A5A" w:themeColor="text1" w:themeTint="A5"/>
    </w:rPr>
  </w:style>
  <w:style w:type="character" w:styleId="af5">
    <w:name w:val="Intense Emphasis"/>
    <w:basedOn w:val="a0"/>
    <w:uiPriority w:val="21"/>
    <w:qFormat/>
    <w:rsid w:val="00051572"/>
    <w:rPr>
      <w:b/>
      <w:i/>
      <w:sz w:val="24"/>
      <w:szCs w:val="24"/>
      <w:u w:val="single"/>
    </w:rPr>
  </w:style>
  <w:style w:type="character" w:styleId="af6">
    <w:name w:val="Subtle Reference"/>
    <w:basedOn w:val="a0"/>
    <w:uiPriority w:val="31"/>
    <w:qFormat/>
    <w:rsid w:val="00051572"/>
    <w:rPr>
      <w:sz w:val="24"/>
      <w:szCs w:val="24"/>
      <w:u w:val="single"/>
    </w:rPr>
  </w:style>
  <w:style w:type="character" w:styleId="af7">
    <w:name w:val="Intense Reference"/>
    <w:basedOn w:val="a0"/>
    <w:uiPriority w:val="32"/>
    <w:qFormat/>
    <w:rsid w:val="00051572"/>
    <w:rPr>
      <w:b/>
      <w:sz w:val="24"/>
      <w:u w:val="single"/>
    </w:rPr>
  </w:style>
  <w:style w:type="character" w:styleId="af8">
    <w:name w:val="Book Title"/>
    <w:basedOn w:val="a0"/>
    <w:uiPriority w:val="33"/>
    <w:qFormat/>
    <w:rsid w:val="00051572"/>
    <w:rPr>
      <w:rFonts w:ascii="黑体" w:hAnsi="黑体" w:eastAsia="黑体" w:cs="黑体"/>
      <w:b/>
      <w:i/>
      <w:sz w:val="24"/>
      <w:szCs w:val="24"/>
    </w:rPr>
  </w:style>
  <w:style w:type="paragraph" w:styleId="TOC">
    <w:name w:val="TOC Heading"/>
    <w:basedOn w:val="1"/>
    <w:next w:val="a"/>
    <w:uiPriority w:val="39"/>
    <w:qFormat/>
    <w:rsid w:val="00051572"/>
    <w:pPr>
      <w:numPr>
        <w:numId w:val="0"/>
      </w:numPr>
      <w:outlineLvl w:val="9"/>
    </w:pPr>
  </w:style>
  <w:style w:type="paragraph" w:customStyle="1" w:styleId="List1">
    <w:name w:val="List 1"/>
    <w:basedOn w:val="a"/>
    <w:link w:val="List1Char"/>
    <w:uiPriority w:val="99"/>
    <w:qFormat/>
    <w:rsid w:val="00051572"/>
    <w:pPr>
      <w:numPr>
        <w:numId w:val="18"/>
      </w:numPr>
      <w:spacing w:before="60"/>
    </w:pPr>
    <w:rPr>
      <w:rFonts w:cstheme="majorBidi" w:ascii="宋体" w:hAnsi="宋体" w:eastAsia="宋体" w:cs="宋体"/>
      <w:szCs w:val="20"/>
      <w:lang w:eastAsia="en-US" w:bidi="en-US"/>
    </w:rPr>
  </w:style>
  <w:style w:type="character" w:customStyle="1" w:styleId="List1Char">
    <w:name w:val="List 1 Char"/>
    <w:basedOn w:val="a0"/>
    <w:link w:val="List1"/>
    <w:uiPriority w:val="99"/>
    <w:rsid w:val="00051572"/>
    <w:rPr>
      <w:rFonts w:ascii="宋体" w:hAnsi="宋体" w:eastAsia="宋体" w:cs="宋体"/>
      <w:lang w:bidi="en-US"/>
    </w:rPr>
  </w:style>
  <w:style w:type="paragraph" w:customStyle="1" w:styleId="Highlight">
    <w:name w:val="Highlight"/>
    <w:basedOn w:val="a"/>
    <w:uiPriority w:val="99"/>
    <w:qFormat/>
    <w:rsid w:val="00051572"/>
    <w:rPr>
      <w:color w:val="BF0000" w:themeColor="accent6" w:themeShade="BF"/>
    </w:rPr>
  </w:style>
  <w:style w:type="paragraph" w:customStyle="1" w:styleId="Numbered1">
    <w:name w:val="Numbered 1"/>
    <w:basedOn w:val="a"/>
    <w:rsid w:val="00051572"/>
    <w:pPr>
      <w:numPr>
        <w:numId w:val="19"/>
      </w:numPr>
      <w:spacing w:before="60"/>
    </w:pPr>
  </w:style>
  <w:style w:type="paragraph" w:customStyle="1" w:styleId="List2">
    <w:name w:val="List2"/>
    <w:basedOn w:val="List1"/>
    <w:uiPriority w:val="99"/>
    <w:qFormat/>
    <w:rsid w:val="00051572"/>
    <w:pPr>
      <w:numPr>
        <w:numId w:val="0"/>
      </w:numPr>
      <w:spacing w:before="0"/>
    </w:pPr>
    <w:rPr>
      <w:szCs w:val="24"/>
      <w:lang w:val="fr-FR" w:eastAsia="fr-FR" w:bidi="ar-SA"/>
    </w:rPr>
  </w:style>
  <w:style w:type="paragraph" w:customStyle="1" w:styleId="StyleHeading5Firstline0cm">
    <w:name w:val="Style Heading 5 + First line:  0 cm"/>
    <w:basedOn w:val="5"/>
    <w:qFormat/>
    <w:rsid w:val="00051572"/>
    <w:pPr>
      <w:numPr>
        <w:ilvl w:val="0"/>
        <w:numId w:val="0"/>
      </w:numPr>
    </w:pPr>
    <w:rPr>
      <w:color w:val="363636"/>
      <w:szCs w:val="24"/>
      <w:u w:val="single"/>
    </w:rPr>
  </w:style>
  <w:style w:type="paragraph" w:customStyle="1" w:styleId="Glossary">
    <w:name w:val="Glossary"/>
    <w:basedOn w:val="a"/>
    <w:link w:val="GlossaryChar"/>
    <w:uiPriority w:val="99"/>
    <w:qFormat/>
    <w:rsid w:val="00051572"/>
    <w:pPr>
      <w:spacing w:before="40"/>
    </w:pPr>
    <w:rPr>
      <w:rFonts w:cstheme="majorBidi" w:ascii="宋体" w:hAnsi="宋体" w:eastAsia="宋体" w:cs="宋体"/>
      <w:sz w:val="16"/>
      <w:szCs w:val="16"/>
      <w:lang w:eastAsia="en-GB"/>
    </w:rPr>
  </w:style>
  <w:style w:type="character" w:customStyle="1" w:styleId="GlossaryChar">
    <w:name w:val="Glossary Char"/>
    <w:basedOn w:val="a0"/>
    <w:link w:val="Glossary"/>
    <w:uiPriority w:val="99"/>
    <w:rsid w:val="00051572"/>
    <w:rPr>
      <w:sz w:val="16"/>
      <w:szCs w:val="16"/>
      <w:lang w:eastAsia="en-GB"/>
    </w:rPr>
  </w:style>
  <w:style w:type="numbering" w:customStyle="1" w:styleId="Style1">
    <w:name w:val="Style1"/>
    <w:uiPriority w:val="99"/>
    <w:rsid w:val="00051572"/>
    <w:pPr>
      <w:numPr>
        <w:numId w:val="4"/>
      </w:numPr>
    </w:pPr>
  </w:style>
  <w:style w:type="paragraph" w:styleId="af9">
    <w:name w:val="header"/>
    <w:basedOn w:val="a"/>
    <w:link w:val="afa"/>
    <w:autoRedefine/>
    <w:uiPriority w:val="99"/>
    <w:rsid w:val="00051572"/>
    <w:pPr>
      <w:tabs>
        <w:tab w:val="center" w:pos="4536"/>
        <w:tab w:val="right" w:pos="9072"/>
      </w:tabs>
    </w:pPr>
  </w:style>
  <w:style w:type="character" w:customStyle="1" w:styleId="afa">
    <w:name w:val="页眉 字符"/>
    <w:basedOn w:val="a0"/>
    <w:link w:val="af9"/>
    <w:uiPriority w:val="99"/>
    <w:rsid w:val="00051572"/>
    <w:rPr>
      <w:rFonts w:cs="宋体" w:ascii="宋体" w:hAnsi="宋体" w:eastAsia="宋体"/>
      <w:szCs w:val="24"/>
      <w:lang w:eastAsia="fr-FR"/>
    </w:rPr>
  </w:style>
  <w:style w:type="table" w:styleId="afb">
    <w:name w:val="Table Grid"/>
    <w:aliases w:val="SGS Table Basic 1"/>
    <w:basedOn w:val="a1"/>
    <w:rsid w:val="00051572"/>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left"/>
      </w:pPr>
      <w:rPr>
        <w:color w:val="FF6600"/>
      </w:rPr>
      <w:tblPr/>
      <w:tcPr>
        <w:tcBorders>
          <w:bottom w:val="single" w:sz="12" w:space="0" w:color="363636"/>
        </w:tcBorders>
      </w:tcPr>
    </w:tblStylePr>
  </w:style>
  <w:style w:type="table" w:customStyle="1" w:styleId="SGSTableBasic2">
    <w:name w:val="SGS Table Basic 2"/>
    <w:basedOn w:val="a1"/>
    <w:uiPriority w:val="99"/>
    <w:qFormat/>
    <w:rsid w:val="00051572"/>
    <w:pPr>
      <w:spacing w:before="0"/>
    </w:pPr>
    <w:tblPr/>
    <w:tcPr>
      <w:shd w:val="clear" w:color="auto" w:fill="BCBCBC"/>
    </w:tcPr>
    <w:tblStylePr w:type="firstRow">
      <w:pPr>
        <w:jc w:val="left"/>
      </w:pPr>
      <w:tblPr/>
      <w:tcPr>
        <w:shd w:val="clear" w:color="auto" w:fill="363636"/>
        <w:vAlign w:val="center"/>
      </w:tcPr>
    </w:tblStylePr>
  </w:style>
  <w:style w:type="numbering" w:customStyle="1" w:styleId="SGS">
    <w:name w:val="SGS"/>
    <w:uiPriority w:val="99"/>
    <w:rsid w:val="00051572"/>
    <w:pPr>
      <w:numPr>
        <w:numId w:val="5"/>
      </w:numPr>
    </w:pPr>
  </w:style>
  <w:style w:type="paragraph" w:styleId="TOC1">
    <w:name w:val="toc 1"/>
    <w:basedOn w:val="a"/>
    <w:next w:val="a"/>
    <w:autoRedefine/>
    <w:uiPriority w:val="39"/>
    <w:rsid w:val="00051572"/>
    <w:pPr>
      <w:keepNext/>
      <w:keepLines/>
      <w:pBdr>
        <w:left w:val="single" w:sz="48" w:space="4" w:color="FF6600"/>
      </w:pBdr>
      <w:shd w:val="clear" w:color="auto" w:fill="363636"/>
      <w:tabs>
        <w:tab w:val="left" w:pos="426"/>
        <w:tab w:val="right" w:leader="dot" w:pos="9072"/>
      </w:tabs>
    </w:pPr>
    <w:rPr>
      <w:rFonts w:cstheme="majorBidi" w:ascii="黑体" w:hAnsi="黑体" w:eastAsia="黑体" w:cs="黑体"/>
      <w:b/>
      <w:caps/>
      <w:noProof/>
      <w:color w:val="FFFFFF" w:themeColor="background1"/>
      <w:sz w:val="18"/>
      <w:szCs w:val="20"/>
      <w:lang w:eastAsia="en-US" w:bidi="en-US"/>
    </w:rPr>
  </w:style>
  <w:style w:type="paragraph" w:styleId="TOC2">
    <w:name w:val="toc 2"/>
    <w:basedOn w:val="a"/>
    <w:next w:val="a"/>
    <w:autoRedefine/>
    <w:uiPriority w:val="39"/>
    <w:rsid w:val="00051572"/>
    <w:pPr>
      <w:keepNext/>
      <w:keepLines/>
      <w:tabs>
        <w:tab w:val="left" w:pos="880"/>
        <w:tab w:val="right" w:leader="dot" w:pos="9072"/>
      </w:tabs>
    </w:pPr>
    <w:rPr>
      <w:rFonts w:cstheme="majorBidi" w:ascii="宋体" w:hAnsi="宋体" w:eastAsia="宋体" w:cs="宋体"/>
      <w:smallCaps/>
      <w:noProof/>
      <w:sz w:val="18"/>
      <w:szCs w:val="18"/>
      <w:lang w:eastAsia="en-US" w:bidi="en-US"/>
    </w:rPr>
  </w:style>
  <w:style w:type="paragraph" w:styleId="TOC3">
    <w:name w:val="toc 3"/>
    <w:basedOn w:val="a"/>
    <w:next w:val="a"/>
    <w:autoRedefine/>
    <w:uiPriority w:val="39"/>
    <w:rsid w:val="00051572"/>
    <w:pPr>
      <w:keepNext/>
      <w:keepLines/>
      <w:tabs>
        <w:tab w:val="left" w:pos="1418"/>
        <w:tab w:val="right" w:leader="dot" w:pos="9072"/>
      </w:tabs>
      <w:ind w:left="1418" w:hanging="567"/>
    </w:pPr>
    <w:rPr>
      <w:rFonts w:cstheme="majorBidi" w:ascii="宋体" w:hAnsi="宋体" w:eastAsia="宋体" w:cs="宋体"/>
      <w:noProof/>
      <w:sz w:val="18"/>
      <w:szCs w:val="22"/>
      <w:lang w:eastAsia="en-US" w:bidi="en-US"/>
    </w:rPr>
  </w:style>
  <w:style w:type="paragraph" w:styleId="afc">
    <w:name w:val="Balloon Text"/>
    <w:basedOn w:val="a"/>
    <w:link w:val="afd"/>
    <w:semiHidden/>
    <w:rsid w:val="00051572"/>
    <w:pPr>
      <w:spacing w:before="0"/>
    </w:pPr>
    <w:rPr>
      <w:rFonts w:cs="宋体" w:ascii="宋体" w:hAnsi="宋体" w:eastAsia="宋体"/>
      <w:sz w:val="16"/>
      <w:szCs w:val="16"/>
    </w:rPr>
  </w:style>
  <w:style w:type="character" w:customStyle="1" w:styleId="afd">
    <w:name w:val="批注框文本 字符"/>
    <w:basedOn w:val="a0"/>
    <w:link w:val="afc"/>
    <w:semiHidden/>
    <w:rsid w:val="00051572"/>
    <w:rPr>
      <w:rFonts w:cs="宋体" w:ascii="宋体" w:hAnsi="宋体" w:eastAsia="宋体"/>
      <w:sz w:val="16"/>
      <w:szCs w:val="16"/>
      <w:lang w:val="fr-FR" w:eastAsia="fr-FR"/>
    </w:rPr>
  </w:style>
  <w:style w:type="table" w:styleId="21">
    <w:name w:val="Table Classic 2"/>
    <w:basedOn w:val="a1"/>
    <w:rsid w:val="00C72CF6"/>
    <w:pPr>
      <w:ind w:left="0" w:firstLine="0"/>
    </w:pPr>
    <w:tblPr>
      <w:tblBorders>
        <w:top w:val="single" w:sz="12" w:space="0" w:color="000000"/>
        <w:bottom w:val="single" w:sz="12" w:space="0" w:color="000000"/>
      </w:tblBorders>
    </w:tblPr>
    <w:tcPr>
      <w:shd w:val="clear" w:color="auto" w:fill="auto"/>
    </w:tcPr>
    <w:tblStylePr w:type="firstRow">
      <w:rPr>
        <w:color w:val="FFFFFF"/>
      </w:rPr>
      <w:tblPr/>
      <w:tcPr>
        <w:shd w:val="clear" w:color="auto" w:fill="FF6600"/>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shd w:val="clear" w:color="auto" w:fill="363636"/>
      </w:tcPr>
    </w:tblStylePr>
    <w:tblStylePr w:type="swCell">
      <w:rPr>
        <w:color w:val="auto"/>
      </w:rPr>
      <w:tblPr/>
      <w:tcPr>
        <w:tcBorders>
          <w:tl2br w:val="none" w:sz="0" w:space="0" w:color="auto"/>
          <w:tr2bl w:val="none" w:sz="0" w:space="0" w:color="auto"/>
        </w:tcBorders>
      </w:tcPr>
    </w:tblStylePr>
  </w:style>
  <w:style w:type="table" w:styleId="11">
    <w:name w:val="Table Colorful 1"/>
    <w:basedOn w:val="a1"/>
    <w:rsid w:val="00B40C4D"/>
    <w:pPr>
      <w:ind w:left="0" w:firstLine="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clear" w:color="auto" w:fill="BCBCBC"/>
    </w:tcPr>
    <w:tblStylePr w:type="firstRow">
      <w:rPr>
        <w:b/>
        <w:bCs/>
        <w:i/>
        <w:iCs/>
      </w:rPr>
      <w:tblPr/>
      <w:tcPr>
        <w:shd w:val="clear" w:color="auto" w:fill="363636"/>
      </w:tcPr>
    </w:tblStylePr>
    <w:tblStylePr w:type="firstCol">
      <w:rPr>
        <w:b/>
        <w:bCs/>
        <w:i/>
        <w:iCs/>
      </w:rPr>
      <w:tblPr/>
      <w:tcPr>
        <w:shd w:val="clear" w:color="auto" w:fill="FF6600"/>
      </w:tcPr>
    </w:tblStylePr>
    <w:tblStylePr w:type="nwCell">
      <w:tblPr/>
      <w:tcPr>
        <w:shd w:val="clear" w:color="auto" w:fill="363636"/>
      </w:tcPr>
    </w:tblStylePr>
    <w:tblStylePr w:type="swCell">
      <w:rPr>
        <w:b/>
        <w:bCs/>
        <w:i w:val="0"/>
        <w:iCs w:val="0"/>
      </w:rPr>
    </w:tblStylePr>
  </w:style>
  <w:style w:type="table" w:styleId="81">
    <w:name w:val="Table List 8"/>
    <w:basedOn w:val="a1"/>
    <w:rsid w:val="00B40C4D"/>
    <w:pPr>
      <w:ind w:left="0" w:firstLine="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shd w:val="clear" w:color="auto" w:fill="BCBCBC"/>
    </w:tcPr>
    <w:tblStylePr w:type="firstRow">
      <w:rPr>
        <w:b/>
        <w:bCs/>
        <w:i/>
        <w:iCs/>
      </w:rPr>
      <w:tblPr/>
      <w:tcPr>
        <w:shd w:val="clear" w:color="auto" w:fill="FF6600"/>
      </w:tcPr>
    </w:tblStylePr>
    <w:tblStylePr w:type="lastRow">
      <w:rPr>
        <w:b/>
        <w:bCs/>
      </w:rPr>
      <w:tblPr/>
      <w:tcPr>
        <w:shd w:val="clear" w:color="auto" w:fill="FF6600"/>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shd w:val="clear" w:color="auto" w:fill="BCBCBC"/>
      </w:tcPr>
    </w:tblStylePr>
    <w:tblStylePr w:type="band2Horz">
      <w:tblPr/>
      <w:tcPr>
        <w:shd w:val="clear" w:color="auto" w:fill="363636"/>
      </w:tcPr>
    </w:tblStylePr>
  </w:style>
  <w:style w:type="table" w:styleId="31">
    <w:name w:val="Table Classic 3"/>
    <w:basedOn w:val="a1"/>
    <w:rsid w:val="00B40C4D"/>
    <w:pPr>
      <w:ind w:left="0" w:firstLine="0"/>
    </w:pPr>
    <w:tblPr>
      <w:tblBorders>
        <w:top w:val="single" w:sz="12" w:space="0" w:color="000000"/>
        <w:left w:val="single" w:sz="12" w:space="0" w:color="000000"/>
        <w:bottom w:val="single" w:sz="12" w:space="0" w:color="000000"/>
        <w:right w:val="single" w:sz="12" w:space="0" w:color="000000"/>
      </w:tblBorders>
    </w:tblPr>
    <w:tcPr>
      <w:shd w:val="clear" w:color="auto" w:fill="BCBCBC"/>
    </w:tcPr>
    <w:tblStylePr w:type="firstRow">
      <w:rPr>
        <w:b/>
        <w:bCs/>
        <w:i/>
        <w:iCs/>
        <w:color w:val="FFFFFF"/>
      </w:rPr>
      <w:tblPr/>
      <w:tcPr>
        <w:shd w:val="clear" w:color="auto" w:fill="363636"/>
      </w:tcPr>
    </w:tblStylePr>
    <w:tblStylePr w:type="lastRow">
      <w:rPr>
        <w:color w:val="FF660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e">
    <w:name w:val="Unresolved Mention"/>
    <w:basedOn w:val="a0"/>
    <w:uiPriority w:val="99"/>
    <w:semiHidden/>
    <w:unhideWhenUsed/>
    <w:rsid w:val="00A13E9F"/>
    <w:rPr>
      <w:color w:val="605E5C"/>
      <w:shd w:val="clear" w:color="auto" w:fill="E1DFDD"/>
    </w:rPr>
  </w:style>
  <w:style w:type="paragraph" w:styleId="aff">
    <w:name w:val="Normal (Web)"/>
    <w:basedOn w:val="a"/>
    <w:uiPriority w:val="99"/>
    <w:unhideWhenUsed/>
    <w:rsid w:val="007047B5"/>
    <w:pPr>
      <w:spacing w:before="100" w:beforeAutospacing="1" w:after="100" w:afterAutospacing="1"/>
    </w:pPr>
    <w:rPr>
      <w:rFonts w:ascii="宋体" w:eastAsia="宋体" w:hAnsi="宋体" w:cs="宋体"/>
      <w:sz w:val="24"/>
      <w:lang w:val="en-US" w:eastAsia="zh-CN"/>
    </w:rPr>
  </w:style>
  <w:style w:type="character" w:customStyle="1" w:styleId="qnt-strong">
    <w:name w:val="qnt-strong"/>
    <w:basedOn w:val="a0"/>
    <w:rsid w:val="00692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01">
      <w:bodyDiv w:val="1"/>
      <w:marLeft w:val="0"/>
      <w:marRight w:val="0"/>
      <w:marTop w:val="0"/>
      <w:marBottom w:val="0"/>
      <w:divBdr>
        <w:top w:val="none" w:sz="0" w:space="0" w:color="auto"/>
        <w:left w:val="none" w:sz="0" w:space="0" w:color="auto"/>
        <w:bottom w:val="none" w:sz="0" w:space="0" w:color="auto"/>
        <w:right w:val="none" w:sz="0" w:space="0" w:color="auto"/>
      </w:divBdr>
    </w:div>
    <w:div w:id="39481016">
      <w:bodyDiv w:val="1"/>
      <w:marLeft w:val="0"/>
      <w:marRight w:val="0"/>
      <w:marTop w:val="0"/>
      <w:marBottom w:val="0"/>
      <w:divBdr>
        <w:top w:val="none" w:sz="0" w:space="0" w:color="auto"/>
        <w:left w:val="none" w:sz="0" w:space="0" w:color="auto"/>
        <w:bottom w:val="none" w:sz="0" w:space="0" w:color="auto"/>
        <w:right w:val="none" w:sz="0" w:space="0" w:color="auto"/>
      </w:divBdr>
    </w:div>
    <w:div w:id="43799558">
      <w:bodyDiv w:val="1"/>
      <w:marLeft w:val="0"/>
      <w:marRight w:val="0"/>
      <w:marTop w:val="0"/>
      <w:marBottom w:val="0"/>
      <w:divBdr>
        <w:top w:val="none" w:sz="0" w:space="0" w:color="auto"/>
        <w:left w:val="none" w:sz="0" w:space="0" w:color="auto"/>
        <w:bottom w:val="none" w:sz="0" w:space="0" w:color="auto"/>
        <w:right w:val="none" w:sz="0" w:space="0" w:color="auto"/>
      </w:divBdr>
    </w:div>
    <w:div w:id="44986536">
      <w:bodyDiv w:val="1"/>
      <w:marLeft w:val="0"/>
      <w:marRight w:val="0"/>
      <w:marTop w:val="0"/>
      <w:marBottom w:val="0"/>
      <w:divBdr>
        <w:top w:val="none" w:sz="0" w:space="0" w:color="auto"/>
        <w:left w:val="none" w:sz="0" w:space="0" w:color="auto"/>
        <w:bottom w:val="none" w:sz="0" w:space="0" w:color="auto"/>
        <w:right w:val="none" w:sz="0" w:space="0" w:color="auto"/>
      </w:divBdr>
    </w:div>
    <w:div w:id="73204139">
      <w:bodyDiv w:val="1"/>
      <w:marLeft w:val="0"/>
      <w:marRight w:val="0"/>
      <w:marTop w:val="0"/>
      <w:marBottom w:val="0"/>
      <w:divBdr>
        <w:top w:val="none" w:sz="0" w:space="0" w:color="auto"/>
        <w:left w:val="none" w:sz="0" w:space="0" w:color="auto"/>
        <w:bottom w:val="none" w:sz="0" w:space="0" w:color="auto"/>
        <w:right w:val="none" w:sz="0" w:space="0" w:color="auto"/>
      </w:divBdr>
    </w:div>
    <w:div w:id="96756491">
      <w:bodyDiv w:val="1"/>
      <w:marLeft w:val="0"/>
      <w:marRight w:val="0"/>
      <w:marTop w:val="0"/>
      <w:marBottom w:val="0"/>
      <w:divBdr>
        <w:top w:val="none" w:sz="0" w:space="0" w:color="auto"/>
        <w:left w:val="none" w:sz="0" w:space="0" w:color="auto"/>
        <w:bottom w:val="none" w:sz="0" w:space="0" w:color="auto"/>
        <w:right w:val="none" w:sz="0" w:space="0" w:color="auto"/>
      </w:divBdr>
    </w:div>
    <w:div w:id="161972078">
      <w:bodyDiv w:val="1"/>
      <w:marLeft w:val="0"/>
      <w:marRight w:val="0"/>
      <w:marTop w:val="0"/>
      <w:marBottom w:val="0"/>
      <w:divBdr>
        <w:top w:val="none" w:sz="0" w:space="0" w:color="auto"/>
        <w:left w:val="none" w:sz="0" w:space="0" w:color="auto"/>
        <w:bottom w:val="none" w:sz="0" w:space="0" w:color="auto"/>
        <w:right w:val="none" w:sz="0" w:space="0" w:color="auto"/>
      </w:divBdr>
    </w:div>
    <w:div w:id="209616061">
      <w:bodyDiv w:val="1"/>
      <w:marLeft w:val="0"/>
      <w:marRight w:val="0"/>
      <w:marTop w:val="0"/>
      <w:marBottom w:val="0"/>
      <w:divBdr>
        <w:top w:val="none" w:sz="0" w:space="0" w:color="auto"/>
        <w:left w:val="none" w:sz="0" w:space="0" w:color="auto"/>
        <w:bottom w:val="none" w:sz="0" w:space="0" w:color="auto"/>
        <w:right w:val="none" w:sz="0" w:space="0" w:color="auto"/>
      </w:divBdr>
    </w:div>
    <w:div w:id="215708287">
      <w:bodyDiv w:val="1"/>
      <w:marLeft w:val="0"/>
      <w:marRight w:val="0"/>
      <w:marTop w:val="0"/>
      <w:marBottom w:val="0"/>
      <w:divBdr>
        <w:top w:val="none" w:sz="0" w:space="0" w:color="auto"/>
        <w:left w:val="none" w:sz="0" w:space="0" w:color="auto"/>
        <w:bottom w:val="none" w:sz="0" w:space="0" w:color="auto"/>
        <w:right w:val="none" w:sz="0" w:space="0" w:color="auto"/>
      </w:divBdr>
    </w:div>
    <w:div w:id="232278913">
      <w:bodyDiv w:val="1"/>
      <w:marLeft w:val="0"/>
      <w:marRight w:val="0"/>
      <w:marTop w:val="0"/>
      <w:marBottom w:val="0"/>
      <w:divBdr>
        <w:top w:val="none" w:sz="0" w:space="0" w:color="auto"/>
        <w:left w:val="none" w:sz="0" w:space="0" w:color="auto"/>
        <w:bottom w:val="none" w:sz="0" w:space="0" w:color="auto"/>
        <w:right w:val="none" w:sz="0" w:space="0" w:color="auto"/>
      </w:divBdr>
    </w:div>
    <w:div w:id="337462907">
      <w:bodyDiv w:val="1"/>
      <w:marLeft w:val="0"/>
      <w:marRight w:val="0"/>
      <w:marTop w:val="0"/>
      <w:marBottom w:val="0"/>
      <w:divBdr>
        <w:top w:val="none" w:sz="0" w:space="0" w:color="auto"/>
        <w:left w:val="none" w:sz="0" w:space="0" w:color="auto"/>
        <w:bottom w:val="none" w:sz="0" w:space="0" w:color="auto"/>
        <w:right w:val="none" w:sz="0" w:space="0" w:color="auto"/>
      </w:divBdr>
    </w:div>
    <w:div w:id="346441532">
      <w:bodyDiv w:val="1"/>
      <w:marLeft w:val="0"/>
      <w:marRight w:val="0"/>
      <w:marTop w:val="0"/>
      <w:marBottom w:val="0"/>
      <w:divBdr>
        <w:top w:val="none" w:sz="0" w:space="0" w:color="auto"/>
        <w:left w:val="none" w:sz="0" w:space="0" w:color="auto"/>
        <w:bottom w:val="none" w:sz="0" w:space="0" w:color="auto"/>
        <w:right w:val="none" w:sz="0" w:space="0" w:color="auto"/>
      </w:divBdr>
    </w:div>
    <w:div w:id="367687288">
      <w:bodyDiv w:val="1"/>
      <w:marLeft w:val="0"/>
      <w:marRight w:val="0"/>
      <w:marTop w:val="0"/>
      <w:marBottom w:val="0"/>
      <w:divBdr>
        <w:top w:val="none" w:sz="0" w:space="0" w:color="auto"/>
        <w:left w:val="none" w:sz="0" w:space="0" w:color="auto"/>
        <w:bottom w:val="none" w:sz="0" w:space="0" w:color="auto"/>
        <w:right w:val="none" w:sz="0" w:space="0" w:color="auto"/>
      </w:divBdr>
    </w:div>
    <w:div w:id="371659602">
      <w:bodyDiv w:val="1"/>
      <w:marLeft w:val="0"/>
      <w:marRight w:val="0"/>
      <w:marTop w:val="0"/>
      <w:marBottom w:val="0"/>
      <w:divBdr>
        <w:top w:val="none" w:sz="0" w:space="0" w:color="auto"/>
        <w:left w:val="none" w:sz="0" w:space="0" w:color="auto"/>
        <w:bottom w:val="none" w:sz="0" w:space="0" w:color="auto"/>
        <w:right w:val="none" w:sz="0" w:space="0" w:color="auto"/>
      </w:divBdr>
    </w:div>
    <w:div w:id="399404533">
      <w:bodyDiv w:val="1"/>
      <w:marLeft w:val="0"/>
      <w:marRight w:val="0"/>
      <w:marTop w:val="0"/>
      <w:marBottom w:val="0"/>
      <w:divBdr>
        <w:top w:val="none" w:sz="0" w:space="0" w:color="auto"/>
        <w:left w:val="none" w:sz="0" w:space="0" w:color="auto"/>
        <w:bottom w:val="none" w:sz="0" w:space="0" w:color="auto"/>
        <w:right w:val="none" w:sz="0" w:space="0" w:color="auto"/>
      </w:divBdr>
    </w:div>
    <w:div w:id="427893762">
      <w:bodyDiv w:val="1"/>
      <w:marLeft w:val="0"/>
      <w:marRight w:val="0"/>
      <w:marTop w:val="0"/>
      <w:marBottom w:val="0"/>
      <w:divBdr>
        <w:top w:val="none" w:sz="0" w:space="0" w:color="auto"/>
        <w:left w:val="none" w:sz="0" w:space="0" w:color="auto"/>
        <w:bottom w:val="none" w:sz="0" w:space="0" w:color="auto"/>
        <w:right w:val="none" w:sz="0" w:space="0" w:color="auto"/>
      </w:divBdr>
    </w:div>
    <w:div w:id="460268224">
      <w:bodyDiv w:val="1"/>
      <w:marLeft w:val="0"/>
      <w:marRight w:val="0"/>
      <w:marTop w:val="0"/>
      <w:marBottom w:val="0"/>
      <w:divBdr>
        <w:top w:val="none" w:sz="0" w:space="0" w:color="auto"/>
        <w:left w:val="none" w:sz="0" w:space="0" w:color="auto"/>
        <w:bottom w:val="none" w:sz="0" w:space="0" w:color="auto"/>
        <w:right w:val="none" w:sz="0" w:space="0" w:color="auto"/>
      </w:divBdr>
    </w:div>
    <w:div w:id="468086496">
      <w:bodyDiv w:val="1"/>
      <w:marLeft w:val="0"/>
      <w:marRight w:val="0"/>
      <w:marTop w:val="0"/>
      <w:marBottom w:val="0"/>
      <w:divBdr>
        <w:top w:val="none" w:sz="0" w:space="0" w:color="auto"/>
        <w:left w:val="none" w:sz="0" w:space="0" w:color="auto"/>
        <w:bottom w:val="none" w:sz="0" w:space="0" w:color="auto"/>
        <w:right w:val="none" w:sz="0" w:space="0" w:color="auto"/>
      </w:divBdr>
    </w:div>
    <w:div w:id="477722944">
      <w:bodyDiv w:val="1"/>
      <w:marLeft w:val="0"/>
      <w:marRight w:val="0"/>
      <w:marTop w:val="0"/>
      <w:marBottom w:val="0"/>
      <w:divBdr>
        <w:top w:val="none" w:sz="0" w:space="0" w:color="auto"/>
        <w:left w:val="none" w:sz="0" w:space="0" w:color="auto"/>
        <w:bottom w:val="none" w:sz="0" w:space="0" w:color="auto"/>
        <w:right w:val="none" w:sz="0" w:space="0" w:color="auto"/>
      </w:divBdr>
    </w:div>
    <w:div w:id="537544445">
      <w:bodyDiv w:val="1"/>
      <w:marLeft w:val="0"/>
      <w:marRight w:val="0"/>
      <w:marTop w:val="0"/>
      <w:marBottom w:val="0"/>
      <w:divBdr>
        <w:top w:val="none" w:sz="0" w:space="0" w:color="auto"/>
        <w:left w:val="none" w:sz="0" w:space="0" w:color="auto"/>
        <w:bottom w:val="none" w:sz="0" w:space="0" w:color="auto"/>
        <w:right w:val="none" w:sz="0" w:space="0" w:color="auto"/>
      </w:divBdr>
    </w:div>
    <w:div w:id="589851264">
      <w:bodyDiv w:val="1"/>
      <w:marLeft w:val="0"/>
      <w:marRight w:val="0"/>
      <w:marTop w:val="0"/>
      <w:marBottom w:val="0"/>
      <w:divBdr>
        <w:top w:val="none" w:sz="0" w:space="0" w:color="auto"/>
        <w:left w:val="none" w:sz="0" w:space="0" w:color="auto"/>
        <w:bottom w:val="none" w:sz="0" w:space="0" w:color="auto"/>
        <w:right w:val="none" w:sz="0" w:space="0" w:color="auto"/>
      </w:divBdr>
    </w:div>
    <w:div w:id="700935989">
      <w:bodyDiv w:val="1"/>
      <w:marLeft w:val="0"/>
      <w:marRight w:val="0"/>
      <w:marTop w:val="0"/>
      <w:marBottom w:val="0"/>
      <w:divBdr>
        <w:top w:val="none" w:sz="0" w:space="0" w:color="auto"/>
        <w:left w:val="none" w:sz="0" w:space="0" w:color="auto"/>
        <w:bottom w:val="none" w:sz="0" w:space="0" w:color="auto"/>
        <w:right w:val="none" w:sz="0" w:space="0" w:color="auto"/>
      </w:divBdr>
    </w:div>
    <w:div w:id="707223899">
      <w:bodyDiv w:val="1"/>
      <w:marLeft w:val="0"/>
      <w:marRight w:val="0"/>
      <w:marTop w:val="0"/>
      <w:marBottom w:val="0"/>
      <w:divBdr>
        <w:top w:val="none" w:sz="0" w:space="0" w:color="auto"/>
        <w:left w:val="none" w:sz="0" w:space="0" w:color="auto"/>
        <w:bottom w:val="none" w:sz="0" w:space="0" w:color="auto"/>
        <w:right w:val="none" w:sz="0" w:space="0" w:color="auto"/>
      </w:divBdr>
    </w:div>
    <w:div w:id="759184518">
      <w:bodyDiv w:val="1"/>
      <w:marLeft w:val="0"/>
      <w:marRight w:val="0"/>
      <w:marTop w:val="0"/>
      <w:marBottom w:val="0"/>
      <w:divBdr>
        <w:top w:val="none" w:sz="0" w:space="0" w:color="auto"/>
        <w:left w:val="none" w:sz="0" w:space="0" w:color="auto"/>
        <w:bottom w:val="none" w:sz="0" w:space="0" w:color="auto"/>
        <w:right w:val="none" w:sz="0" w:space="0" w:color="auto"/>
      </w:divBdr>
    </w:div>
    <w:div w:id="781267395">
      <w:bodyDiv w:val="1"/>
      <w:marLeft w:val="0"/>
      <w:marRight w:val="0"/>
      <w:marTop w:val="0"/>
      <w:marBottom w:val="0"/>
      <w:divBdr>
        <w:top w:val="none" w:sz="0" w:space="0" w:color="auto"/>
        <w:left w:val="none" w:sz="0" w:space="0" w:color="auto"/>
        <w:bottom w:val="none" w:sz="0" w:space="0" w:color="auto"/>
        <w:right w:val="none" w:sz="0" w:space="0" w:color="auto"/>
      </w:divBdr>
    </w:div>
    <w:div w:id="873420684">
      <w:bodyDiv w:val="1"/>
      <w:marLeft w:val="0"/>
      <w:marRight w:val="0"/>
      <w:marTop w:val="0"/>
      <w:marBottom w:val="0"/>
      <w:divBdr>
        <w:top w:val="none" w:sz="0" w:space="0" w:color="auto"/>
        <w:left w:val="none" w:sz="0" w:space="0" w:color="auto"/>
        <w:bottom w:val="none" w:sz="0" w:space="0" w:color="auto"/>
        <w:right w:val="none" w:sz="0" w:space="0" w:color="auto"/>
      </w:divBdr>
    </w:div>
    <w:div w:id="889071069">
      <w:bodyDiv w:val="1"/>
      <w:marLeft w:val="0"/>
      <w:marRight w:val="0"/>
      <w:marTop w:val="0"/>
      <w:marBottom w:val="0"/>
      <w:divBdr>
        <w:top w:val="none" w:sz="0" w:space="0" w:color="auto"/>
        <w:left w:val="none" w:sz="0" w:space="0" w:color="auto"/>
        <w:bottom w:val="none" w:sz="0" w:space="0" w:color="auto"/>
        <w:right w:val="none" w:sz="0" w:space="0" w:color="auto"/>
      </w:divBdr>
    </w:div>
    <w:div w:id="899249078">
      <w:bodyDiv w:val="1"/>
      <w:marLeft w:val="0"/>
      <w:marRight w:val="0"/>
      <w:marTop w:val="0"/>
      <w:marBottom w:val="0"/>
      <w:divBdr>
        <w:top w:val="none" w:sz="0" w:space="0" w:color="auto"/>
        <w:left w:val="none" w:sz="0" w:space="0" w:color="auto"/>
        <w:bottom w:val="none" w:sz="0" w:space="0" w:color="auto"/>
        <w:right w:val="none" w:sz="0" w:space="0" w:color="auto"/>
      </w:divBdr>
    </w:div>
    <w:div w:id="955523691">
      <w:bodyDiv w:val="1"/>
      <w:marLeft w:val="0"/>
      <w:marRight w:val="0"/>
      <w:marTop w:val="0"/>
      <w:marBottom w:val="0"/>
      <w:divBdr>
        <w:top w:val="none" w:sz="0" w:space="0" w:color="auto"/>
        <w:left w:val="none" w:sz="0" w:space="0" w:color="auto"/>
        <w:bottom w:val="none" w:sz="0" w:space="0" w:color="auto"/>
        <w:right w:val="none" w:sz="0" w:space="0" w:color="auto"/>
      </w:divBdr>
    </w:div>
    <w:div w:id="984775383">
      <w:bodyDiv w:val="1"/>
      <w:marLeft w:val="0"/>
      <w:marRight w:val="0"/>
      <w:marTop w:val="0"/>
      <w:marBottom w:val="0"/>
      <w:divBdr>
        <w:top w:val="none" w:sz="0" w:space="0" w:color="auto"/>
        <w:left w:val="none" w:sz="0" w:space="0" w:color="auto"/>
        <w:bottom w:val="none" w:sz="0" w:space="0" w:color="auto"/>
        <w:right w:val="none" w:sz="0" w:space="0" w:color="auto"/>
      </w:divBdr>
    </w:div>
    <w:div w:id="989822612">
      <w:bodyDiv w:val="1"/>
      <w:marLeft w:val="0"/>
      <w:marRight w:val="0"/>
      <w:marTop w:val="0"/>
      <w:marBottom w:val="0"/>
      <w:divBdr>
        <w:top w:val="none" w:sz="0" w:space="0" w:color="auto"/>
        <w:left w:val="none" w:sz="0" w:space="0" w:color="auto"/>
        <w:bottom w:val="none" w:sz="0" w:space="0" w:color="auto"/>
        <w:right w:val="none" w:sz="0" w:space="0" w:color="auto"/>
      </w:divBdr>
    </w:div>
    <w:div w:id="991831486">
      <w:bodyDiv w:val="1"/>
      <w:marLeft w:val="0"/>
      <w:marRight w:val="0"/>
      <w:marTop w:val="0"/>
      <w:marBottom w:val="0"/>
      <w:divBdr>
        <w:top w:val="none" w:sz="0" w:space="0" w:color="auto"/>
        <w:left w:val="none" w:sz="0" w:space="0" w:color="auto"/>
        <w:bottom w:val="none" w:sz="0" w:space="0" w:color="auto"/>
        <w:right w:val="none" w:sz="0" w:space="0" w:color="auto"/>
      </w:divBdr>
    </w:div>
    <w:div w:id="1001590512">
      <w:bodyDiv w:val="1"/>
      <w:marLeft w:val="0"/>
      <w:marRight w:val="0"/>
      <w:marTop w:val="0"/>
      <w:marBottom w:val="0"/>
      <w:divBdr>
        <w:top w:val="none" w:sz="0" w:space="0" w:color="auto"/>
        <w:left w:val="none" w:sz="0" w:space="0" w:color="auto"/>
        <w:bottom w:val="none" w:sz="0" w:space="0" w:color="auto"/>
        <w:right w:val="none" w:sz="0" w:space="0" w:color="auto"/>
      </w:divBdr>
    </w:div>
    <w:div w:id="1002322389">
      <w:bodyDiv w:val="1"/>
      <w:marLeft w:val="0"/>
      <w:marRight w:val="0"/>
      <w:marTop w:val="0"/>
      <w:marBottom w:val="0"/>
      <w:divBdr>
        <w:top w:val="none" w:sz="0" w:space="0" w:color="auto"/>
        <w:left w:val="none" w:sz="0" w:space="0" w:color="auto"/>
        <w:bottom w:val="none" w:sz="0" w:space="0" w:color="auto"/>
        <w:right w:val="none" w:sz="0" w:space="0" w:color="auto"/>
      </w:divBdr>
    </w:div>
    <w:div w:id="1008213857">
      <w:bodyDiv w:val="1"/>
      <w:marLeft w:val="0"/>
      <w:marRight w:val="0"/>
      <w:marTop w:val="0"/>
      <w:marBottom w:val="0"/>
      <w:divBdr>
        <w:top w:val="none" w:sz="0" w:space="0" w:color="auto"/>
        <w:left w:val="none" w:sz="0" w:space="0" w:color="auto"/>
        <w:bottom w:val="none" w:sz="0" w:space="0" w:color="auto"/>
        <w:right w:val="none" w:sz="0" w:space="0" w:color="auto"/>
      </w:divBdr>
    </w:div>
    <w:div w:id="1061749729">
      <w:bodyDiv w:val="1"/>
      <w:marLeft w:val="0"/>
      <w:marRight w:val="0"/>
      <w:marTop w:val="0"/>
      <w:marBottom w:val="0"/>
      <w:divBdr>
        <w:top w:val="none" w:sz="0" w:space="0" w:color="auto"/>
        <w:left w:val="none" w:sz="0" w:space="0" w:color="auto"/>
        <w:bottom w:val="none" w:sz="0" w:space="0" w:color="auto"/>
        <w:right w:val="none" w:sz="0" w:space="0" w:color="auto"/>
      </w:divBdr>
    </w:div>
    <w:div w:id="1063018484">
      <w:bodyDiv w:val="1"/>
      <w:marLeft w:val="0"/>
      <w:marRight w:val="0"/>
      <w:marTop w:val="0"/>
      <w:marBottom w:val="0"/>
      <w:divBdr>
        <w:top w:val="none" w:sz="0" w:space="0" w:color="auto"/>
        <w:left w:val="none" w:sz="0" w:space="0" w:color="auto"/>
        <w:bottom w:val="none" w:sz="0" w:space="0" w:color="auto"/>
        <w:right w:val="none" w:sz="0" w:space="0" w:color="auto"/>
      </w:divBdr>
    </w:div>
    <w:div w:id="1064185335">
      <w:bodyDiv w:val="1"/>
      <w:marLeft w:val="0"/>
      <w:marRight w:val="0"/>
      <w:marTop w:val="0"/>
      <w:marBottom w:val="0"/>
      <w:divBdr>
        <w:top w:val="none" w:sz="0" w:space="0" w:color="auto"/>
        <w:left w:val="none" w:sz="0" w:space="0" w:color="auto"/>
        <w:bottom w:val="none" w:sz="0" w:space="0" w:color="auto"/>
        <w:right w:val="none" w:sz="0" w:space="0" w:color="auto"/>
      </w:divBdr>
    </w:div>
    <w:div w:id="1085031940">
      <w:bodyDiv w:val="1"/>
      <w:marLeft w:val="0"/>
      <w:marRight w:val="0"/>
      <w:marTop w:val="0"/>
      <w:marBottom w:val="0"/>
      <w:divBdr>
        <w:top w:val="none" w:sz="0" w:space="0" w:color="auto"/>
        <w:left w:val="none" w:sz="0" w:space="0" w:color="auto"/>
        <w:bottom w:val="none" w:sz="0" w:space="0" w:color="auto"/>
        <w:right w:val="none" w:sz="0" w:space="0" w:color="auto"/>
      </w:divBdr>
    </w:div>
    <w:div w:id="1157843416">
      <w:bodyDiv w:val="1"/>
      <w:marLeft w:val="0"/>
      <w:marRight w:val="0"/>
      <w:marTop w:val="0"/>
      <w:marBottom w:val="0"/>
      <w:divBdr>
        <w:top w:val="none" w:sz="0" w:space="0" w:color="auto"/>
        <w:left w:val="none" w:sz="0" w:space="0" w:color="auto"/>
        <w:bottom w:val="none" w:sz="0" w:space="0" w:color="auto"/>
        <w:right w:val="none" w:sz="0" w:space="0" w:color="auto"/>
      </w:divBdr>
    </w:div>
    <w:div w:id="1190800789">
      <w:bodyDiv w:val="1"/>
      <w:marLeft w:val="0"/>
      <w:marRight w:val="0"/>
      <w:marTop w:val="0"/>
      <w:marBottom w:val="0"/>
      <w:divBdr>
        <w:top w:val="none" w:sz="0" w:space="0" w:color="auto"/>
        <w:left w:val="none" w:sz="0" w:space="0" w:color="auto"/>
        <w:bottom w:val="none" w:sz="0" w:space="0" w:color="auto"/>
        <w:right w:val="none" w:sz="0" w:space="0" w:color="auto"/>
      </w:divBdr>
    </w:div>
    <w:div w:id="1193803884">
      <w:bodyDiv w:val="1"/>
      <w:marLeft w:val="0"/>
      <w:marRight w:val="0"/>
      <w:marTop w:val="0"/>
      <w:marBottom w:val="0"/>
      <w:divBdr>
        <w:top w:val="none" w:sz="0" w:space="0" w:color="auto"/>
        <w:left w:val="none" w:sz="0" w:space="0" w:color="auto"/>
        <w:bottom w:val="none" w:sz="0" w:space="0" w:color="auto"/>
        <w:right w:val="none" w:sz="0" w:space="0" w:color="auto"/>
      </w:divBdr>
    </w:div>
    <w:div w:id="1232083384">
      <w:bodyDiv w:val="1"/>
      <w:marLeft w:val="0"/>
      <w:marRight w:val="0"/>
      <w:marTop w:val="0"/>
      <w:marBottom w:val="0"/>
      <w:divBdr>
        <w:top w:val="none" w:sz="0" w:space="0" w:color="auto"/>
        <w:left w:val="none" w:sz="0" w:space="0" w:color="auto"/>
        <w:bottom w:val="none" w:sz="0" w:space="0" w:color="auto"/>
        <w:right w:val="none" w:sz="0" w:space="0" w:color="auto"/>
      </w:divBdr>
    </w:div>
    <w:div w:id="1234193924">
      <w:bodyDiv w:val="1"/>
      <w:marLeft w:val="0"/>
      <w:marRight w:val="0"/>
      <w:marTop w:val="0"/>
      <w:marBottom w:val="0"/>
      <w:divBdr>
        <w:top w:val="none" w:sz="0" w:space="0" w:color="auto"/>
        <w:left w:val="none" w:sz="0" w:space="0" w:color="auto"/>
        <w:bottom w:val="none" w:sz="0" w:space="0" w:color="auto"/>
        <w:right w:val="none" w:sz="0" w:space="0" w:color="auto"/>
      </w:divBdr>
    </w:div>
    <w:div w:id="1290552552">
      <w:bodyDiv w:val="1"/>
      <w:marLeft w:val="0"/>
      <w:marRight w:val="0"/>
      <w:marTop w:val="0"/>
      <w:marBottom w:val="0"/>
      <w:divBdr>
        <w:top w:val="none" w:sz="0" w:space="0" w:color="auto"/>
        <w:left w:val="none" w:sz="0" w:space="0" w:color="auto"/>
        <w:bottom w:val="none" w:sz="0" w:space="0" w:color="auto"/>
        <w:right w:val="none" w:sz="0" w:space="0" w:color="auto"/>
      </w:divBdr>
    </w:div>
    <w:div w:id="1301883934">
      <w:bodyDiv w:val="1"/>
      <w:marLeft w:val="0"/>
      <w:marRight w:val="0"/>
      <w:marTop w:val="0"/>
      <w:marBottom w:val="0"/>
      <w:divBdr>
        <w:top w:val="none" w:sz="0" w:space="0" w:color="auto"/>
        <w:left w:val="none" w:sz="0" w:space="0" w:color="auto"/>
        <w:bottom w:val="none" w:sz="0" w:space="0" w:color="auto"/>
        <w:right w:val="none" w:sz="0" w:space="0" w:color="auto"/>
      </w:divBdr>
    </w:div>
    <w:div w:id="1379088599">
      <w:bodyDiv w:val="1"/>
      <w:marLeft w:val="0"/>
      <w:marRight w:val="0"/>
      <w:marTop w:val="0"/>
      <w:marBottom w:val="0"/>
      <w:divBdr>
        <w:top w:val="none" w:sz="0" w:space="0" w:color="auto"/>
        <w:left w:val="none" w:sz="0" w:space="0" w:color="auto"/>
        <w:bottom w:val="none" w:sz="0" w:space="0" w:color="auto"/>
        <w:right w:val="none" w:sz="0" w:space="0" w:color="auto"/>
      </w:divBdr>
    </w:div>
    <w:div w:id="1443920434">
      <w:bodyDiv w:val="1"/>
      <w:marLeft w:val="0"/>
      <w:marRight w:val="0"/>
      <w:marTop w:val="0"/>
      <w:marBottom w:val="0"/>
      <w:divBdr>
        <w:top w:val="none" w:sz="0" w:space="0" w:color="auto"/>
        <w:left w:val="none" w:sz="0" w:space="0" w:color="auto"/>
        <w:bottom w:val="none" w:sz="0" w:space="0" w:color="auto"/>
        <w:right w:val="none" w:sz="0" w:space="0" w:color="auto"/>
      </w:divBdr>
    </w:div>
    <w:div w:id="1450472036">
      <w:bodyDiv w:val="1"/>
      <w:marLeft w:val="0"/>
      <w:marRight w:val="0"/>
      <w:marTop w:val="0"/>
      <w:marBottom w:val="0"/>
      <w:divBdr>
        <w:top w:val="none" w:sz="0" w:space="0" w:color="auto"/>
        <w:left w:val="none" w:sz="0" w:space="0" w:color="auto"/>
        <w:bottom w:val="none" w:sz="0" w:space="0" w:color="auto"/>
        <w:right w:val="none" w:sz="0" w:space="0" w:color="auto"/>
      </w:divBdr>
    </w:div>
    <w:div w:id="1466046038">
      <w:bodyDiv w:val="1"/>
      <w:marLeft w:val="0"/>
      <w:marRight w:val="0"/>
      <w:marTop w:val="0"/>
      <w:marBottom w:val="0"/>
      <w:divBdr>
        <w:top w:val="none" w:sz="0" w:space="0" w:color="auto"/>
        <w:left w:val="none" w:sz="0" w:space="0" w:color="auto"/>
        <w:bottom w:val="none" w:sz="0" w:space="0" w:color="auto"/>
        <w:right w:val="none" w:sz="0" w:space="0" w:color="auto"/>
      </w:divBdr>
    </w:div>
    <w:div w:id="1518033136">
      <w:bodyDiv w:val="1"/>
      <w:marLeft w:val="0"/>
      <w:marRight w:val="0"/>
      <w:marTop w:val="0"/>
      <w:marBottom w:val="0"/>
      <w:divBdr>
        <w:top w:val="none" w:sz="0" w:space="0" w:color="auto"/>
        <w:left w:val="none" w:sz="0" w:space="0" w:color="auto"/>
        <w:bottom w:val="none" w:sz="0" w:space="0" w:color="auto"/>
        <w:right w:val="none" w:sz="0" w:space="0" w:color="auto"/>
      </w:divBdr>
    </w:div>
    <w:div w:id="1518227745">
      <w:bodyDiv w:val="1"/>
      <w:marLeft w:val="0"/>
      <w:marRight w:val="0"/>
      <w:marTop w:val="0"/>
      <w:marBottom w:val="0"/>
      <w:divBdr>
        <w:top w:val="none" w:sz="0" w:space="0" w:color="auto"/>
        <w:left w:val="none" w:sz="0" w:space="0" w:color="auto"/>
        <w:bottom w:val="none" w:sz="0" w:space="0" w:color="auto"/>
        <w:right w:val="none" w:sz="0" w:space="0" w:color="auto"/>
      </w:divBdr>
    </w:div>
    <w:div w:id="1519807143">
      <w:bodyDiv w:val="1"/>
      <w:marLeft w:val="0"/>
      <w:marRight w:val="0"/>
      <w:marTop w:val="0"/>
      <w:marBottom w:val="0"/>
      <w:divBdr>
        <w:top w:val="none" w:sz="0" w:space="0" w:color="auto"/>
        <w:left w:val="none" w:sz="0" w:space="0" w:color="auto"/>
        <w:bottom w:val="none" w:sz="0" w:space="0" w:color="auto"/>
        <w:right w:val="none" w:sz="0" w:space="0" w:color="auto"/>
      </w:divBdr>
    </w:div>
    <w:div w:id="1521971327">
      <w:bodyDiv w:val="1"/>
      <w:marLeft w:val="0"/>
      <w:marRight w:val="0"/>
      <w:marTop w:val="0"/>
      <w:marBottom w:val="0"/>
      <w:divBdr>
        <w:top w:val="none" w:sz="0" w:space="0" w:color="auto"/>
        <w:left w:val="none" w:sz="0" w:space="0" w:color="auto"/>
        <w:bottom w:val="none" w:sz="0" w:space="0" w:color="auto"/>
        <w:right w:val="none" w:sz="0" w:space="0" w:color="auto"/>
      </w:divBdr>
    </w:div>
    <w:div w:id="1580217052">
      <w:bodyDiv w:val="1"/>
      <w:marLeft w:val="0"/>
      <w:marRight w:val="0"/>
      <w:marTop w:val="0"/>
      <w:marBottom w:val="0"/>
      <w:divBdr>
        <w:top w:val="none" w:sz="0" w:space="0" w:color="auto"/>
        <w:left w:val="none" w:sz="0" w:space="0" w:color="auto"/>
        <w:bottom w:val="none" w:sz="0" w:space="0" w:color="auto"/>
        <w:right w:val="none" w:sz="0" w:space="0" w:color="auto"/>
      </w:divBdr>
    </w:div>
    <w:div w:id="1623071535">
      <w:bodyDiv w:val="1"/>
      <w:marLeft w:val="0"/>
      <w:marRight w:val="0"/>
      <w:marTop w:val="0"/>
      <w:marBottom w:val="0"/>
      <w:divBdr>
        <w:top w:val="none" w:sz="0" w:space="0" w:color="auto"/>
        <w:left w:val="none" w:sz="0" w:space="0" w:color="auto"/>
        <w:bottom w:val="none" w:sz="0" w:space="0" w:color="auto"/>
        <w:right w:val="none" w:sz="0" w:space="0" w:color="auto"/>
      </w:divBdr>
    </w:div>
    <w:div w:id="1626737137">
      <w:bodyDiv w:val="1"/>
      <w:marLeft w:val="0"/>
      <w:marRight w:val="0"/>
      <w:marTop w:val="0"/>
      <w:marBottom w:val="0"/>
      <w:divBdr>
        <w:top w:val="none" w:sz="0" w:space="0" w:color="auto"/>
        <w:left w:val="none" w:sz="0" w:space="0" w:color="auto"/>
        <w:bottom w:val="none" w:sz="0" w:space="0" w:color="auto"/>
        <w:right w:val="none" w:sz="0" w:space="0" w:color="auto"/>
      </w:divBdr>
    </w:div>
    <w:div w:id="1673755027">
      <w:bodyDiv w:val="1"/>
      <w:marLeft w:val="0"/>
      <w:marRight w:val="0"/>
      <w:marTop w:val="0"/>
      <w:marBottom w:val="0"/>
      <w:divBdr>
        <w:top w:val="none" w:sz="0" w:space="0" w:color="auto"/>
        <w:left w:val="none" w:sz="0" w:space="0" w:color="auto"/>
        <w:bottom w:val="none" w:sz="0" w:space="0" w:color="auto"/>
        <w:right w:val="none" w:sz="0" w:space="0" w:color="auto"/>
      </w:divBdr>
    </w:div>
    <w:div w:id="1720741790">
      <w:bodyDiv w:val="1"/>
      <w:marLeft w:val="0"/>
      <w:marRight w:val="0"/>
      <w:marTop w:val="0"/>
      <w:marBottom w:val="0"/>
      <w:divBdr>
        <w:top w:val="none" w:sz="0" w:space="0" w:color="auto"/>
        <w:left w:val="none" w:sz="0" w:space="0" w:color="auto"/>
        <w:bottom w:val="none" w:sz="0" w:space="0" w:color="auto"/>
        <w:right w:val="none" w:sz="0" w:space="0" w:color="auto"/>
      </w:divBdr>
    </w:div>
    <w:div w:id="1785227603">
      <w:bodyDiv w:val="1"/>
      <w:marLeft w:val="0"/>
      <w:marRight w:val="0"/>
      <w:marTop w:val="0"/>
      <w:marBottom w:val="0"/>
      <w:divBdr>
        <w:top w:val="none" w:sz="0" w:space="0" w:color="auto"/>
        <w:left w:val="none" w:sz="0" w:space="0" w:color="auto"/>
        <w:bottom w:val="none" w:sz="0" w:space="0" w:color="auto"/>
        <w:right w:val="none" w:sz="0" w:space="0" w:color="auto"/>
      </w:divBdr>
    </w:div>
    <w:div w:id="1800760350">
      <w:bodyDiv w:val="1"/>
      <w:marLeft w:val="0"/>
      <w:marRight w:val="0"/>
      <w:marTop w:val="0"/>
      <w:marBottom w:val="0"/>
      <w:divBdr>
        <w:top w:val="none" w:sz="0" w:space="0" w:color="auto"/>
        <w:left w:val="none" w:sz="0" w:space="0" w:color="auto"/>
        <w:bottom w:val="none" w:sz="0" w:space="0" w:color="auto"/>
        <w:right w:val="none" w:sz="0" w:space="0" w:color="auto"/>
      </w:divBdr>
    </w:div>
    <w:div w:id="1805731355">
      <w:bodyDiv w:val="1"/>
      <w:marLeft w:val="0"/>
      <w:marRight w:val="0"/>
      <w:marTop w:val="0"/>
      <w:marBottom w:val="0"/>
      <w:divBdr>
        <w:top w:val="none" w:sz="0" w:space="0" w:color="auto"/>
        <w:left w:val="none" w:sz="0" w:space="0" w:color="auto"/>
        <w:bottom w:val="none" w:sz="0" w:space="0" w:color="auto"/>
        <w:right w:val="none" w:sz="0" w:space="0" w:color="auto"/>
      </w:divBdr>
    </w:div>
    <w:div w:id="1808008914">
      <w:bodyDiv w:val="1"/>
      <w:marLeft w:val="0"/>
      <w:marRight w:val="0"/>
      <w:marTop w:val="0"/>
      <w:marBottom w:val="0"/>
      <w:divBdr>
        <w:top w:val="none" w:sz="0" w:space="0" w:color="auto"/>
        <w:left w:val="none" w:sz="0" w:space="0" w:color="auto"/>
        <w:bottom w:val="none" w:sz="0" w:space="0" w:color="auto"/>
        <w:right w:val="none" w:sz="0" w:space="0" w:color="auto"/>
      </w:divBdr>
    </w:div>
    <w:div w:id="1893423925">
      <w:bodyDiv w:val="1"/>
      <w:marLeft w:val="0"/>
      <w:marRight w:val="0"/>
      <w:marTop w:val="0"/>
      <w:marBottom w:val="0"/>
      <w:divBdr>
        <w:top w:val="none" w:sz="0" w:space="0" w:color="auto"/>
        <w:left w:val="none" w:sz="0" w:space="0" w:color="auto"/>
        <w:bottom w:val="none" w:sz="0" w:space="0" w:color="auto"/>
        <w:right w:val="none" w:sz="0" w:space="0" w:color="auto"/>
      </w:divBdr>
    </w:div>
    <w:div w:id="1996030144">
      <w:bodyDiv w:val="1"/>
      <w:marLeft w:val="0"/>
      <w:marRight w:val="0"/>
      <w:marTop w:val="0"/>
      <w:marBottom w:val="0"/>
      <w:divBdr>
        <w:top w:val="none" w:sz="0" w:space="0" w:color="auto"/>
        <w:left w:val="none" w:sz="0" w:space="0" w:color="auto"/>
        <w:bottom w:val="none" w:sz="0" w:space="0" w:color="auto"/>
        <w:right w:val="none" w:sz="0" w:space="0" w:color="auto"/>
      </w:divBdr>
    </w:div>
    <w:div w:id="2013408773">
      <w:bodyDiv w:val="1"/>
      <w:marLeft w:val="0"/>
      <w:marRight w:val="0"/>
      <w:marTop w:val="0"/>
      <w:marBottom w:val="0"/>
      <w:divBdr>
        <w:top w:val="none" w:sz="0" w:space="0" w:color="auto"/>
        <w:left w:val="none" w:sz="0" w:space="0" w:color="auto"/>
        <w:bottom w:val="none" w:sz="0" w:space="0" w:color="auto"/>
        <w:right w:val="none" w:sz="0" w:space="0" w:color="auto"/>
      </w:divBdr>
    </w:div>
    <w:div w:id="2022197151">
      <w:bodyDiv w:val="1"/>
      <w:marLeft w:val="0"/>
      <w:marRight w:val="0"/>
      <w:marTop w:val="0"/>
      <w:marBottom w:val="0"/>
      <w:divBdr>
        <w:top w:val="none" w:sz="0" w:space="0" w:color="auto"/>
        <w:left w:val="none" w:sz="0" w:space="0" w:color="auto"/>
        <w:bottom w:val="none" w:sz="0" w:space="0" w:color="auto"/>
        <w:right w:val="none" w:sz="0" w:space="0" w:color="auto"/>
      </w:divBdr>
    </w:div>
    <w:div w:id="2074619572">
      <w:bodyDiv w:val="1"/>
      <w:marLeft w:val="0"/>
      <w:marRight w:val="0"/>
      <w:marTop w:val="0"/>
      <w:marBottom w:val="0"/>
      <w:divBdr>
        <w:top w:val="none" w:sz="0" w:space="0" w:color="auto"/>
        <w:left w:val="none" w:sz="0" w:space="0" w:color="auto"/>
        <w:bottom w:val="none" w:sz="0" w:space="0" w:color="auto"/>
        <w:right w:val="none" w:sz="0" w:space="0" w:color="auto"/>
      </w:divBdr>
    </w:div>
    <w:div w:id="2081710030">
      <w:bodyDiv w:val="1"/>
      <w:marLeft w:val="0"/>
      <w:marRight w:val="0"/>
      <w:marTop w:val="0"/>
      <w:marBottom w:val="0"/>
      <w:divBdr>
        <w:top w:val="none" w:sz="0" w:space="0" w:color="auto"/>
        <w:left w:val="none" w:sz="0" w:space="0" w:color="auto"/>
        <w:bottom w:val="none" w:sz="0" w:space="0" w:color="auto"/>
        <w:right w:val="none" w:sz="0" w:space="0" w:color="auto"/>
      </w:divBdr>
    </w:div>
    <w:div w:id="21075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webSettings" Target="webSettings.xml"/><Relationship Id="rId24" Type="http://schemas.openxmlformats.org/officeDocument/2006/relationships/hyperlink" Target="https://webgate.ec.europa.eu/rasff-window/screen/notification/871861" TargetMode="External"/><Relationship Id="rId25" Type="http://schemas.openxmlformats.org/officeDocument/2006/relationships/hyperlink" Target="https://www.fda.gov/safety/recalls-market-withdrawals-safety-alerts/fi-recalls-supplements-dogs-because-possible-salmonella-contamination" TargetMode="External"/><Relationship Id="rId26" Type="http://schemas.openxmlformats.org/officeDocument/2006/relationships/hyperlink" Target="https://eur-lex.europa.eu/eli/reg_impl/2026/2027/oj/eng" TargetMode="External"/><Relationship Id="rId27" Type="http://schemas.openxmlformats.org/officeDocument/2006/relationships/hyperlink" Target="https://eur-lex.europa.eu/eli/dec_impl/2026/2056/oj/eng" TargetMode="External"/><Relationship Id="rId28" Type="http://schemas.openxmlformats.org/officeDocument/2006/relationships/hyperlink" Target="https://eur-lex.europa.eu/eli/reg_impl/2026/2020/oj/eng" TargetMode="External"/><Relationship Id="rId29" Type="http://schemas.openxmlformats.org/officeDocument/2006/relationships/hyperlink" Target="https://www.nestle.com/media/news/purina-pet-nutrition-investment-expansion-thailand" TargetMode="External"/><Relationship Id="rId30" Type="http://schemas.openxmlformats.org/officeDocument/2006/relationships/hyperlink" Target="https://www.biomed.cas.cz/physiolres/pdf/2026/75_64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Default Theme">
  <a:themeElements>
    <a:clrScheme name="SGS">
      <a:dk1>
        <a:sysClr val="windowText" lastClr="000000"/>
      </a:dk1>
      <a:lt1>
        <a:sysClr val="window" lastClr="FFFFFF"/>
      </a:lt1>
      <a:dk2>
        <a:srgbClr val="000000"/>
      </a:dk2>
      <a:lt2>
        <a:srgbClr val="EEECE1"/>
      </a:lt2>
      <a:accent1>
        <a:srgbClr val="363636"/>
      </a:accent1>
      <a:accent2>
        <a:srgbClr val="848685"/>
      </a:accent2>
      <a:accent3>
        <a:srgbClr val="FF6600"/>
      </a:accent3>
      <a:accent4>
        <a:srgbClr val="BCBCBC"/>
      </a:accent4>
      <a:accent5>
        <a:srgbClr val="FF9900"/>
      </a:accent5>
      <a:accent6>
        <a:srgbClr val="FF0000"/>
      </a:accent6>
      <a:hlink>
        <a:srgbClr val="FF0000"/>
      </a:hlink>
      <a:folHlink>
        <a:srgbClr val="BCBCBC"/>
      </a:folHlink>
    </a:clrScheme>
    <a:fontScheme name="default">
      <a:majorFont>
        <a:latin typeface="黑体"/>
        <a:ea typeface="宋体"/>
        <a:cs typeface="宋体"/>
      </a:majorFont>
      <a:minorFont>
        <a:latin typeface="黑体"/>
        <a:ea typeface="宋体"/>
        <a:cs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宋体" pitchFamily="18"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宋体" pitchFamily="18" charset="0"/>
          </a:defRPr>
        </a:defPPr>
      </a:lstStyle>
    </a:lnDef>
  </a:objectDefaults>
  <a:extraClrSchemeLst>
    <a:extraClrScheme>
      <a:clrScheme name="default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default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default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default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default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default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default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2</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Amanda-HM (Shanghai)</dc:creator>
  <cp:keywords/>
  <dc:description/>
  <cp:lastModifiedBy>Zhang, Amanda-HM (Shanghai)</cp:lastModifiedBy>
  <cp:revision>11</cp:revision>
  <cp:lastPrinted>2025-02-06T01:14:00Z</cp:lastPrinted>
  <dcterms:created xsi:type="dcterms:W3CDTF">2025-02-06T00:57:00Z</dcterms:created>
  <dcterms:modified xsi:type="dcterms:W3CDTF">2025-02-06T07:40:00Z</dcterms:modified>
</cp:coreProperties>
</file>