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14E5A" w14:textId="5E9DA155" w:rsidR="006C3F59" w:rsidRDefault="006C3F59" w:rsidP="006C3F59">
      <w:pPr>
        <w:shd w:val="clear" w:color="auto" w:fill="FFFFFF"/>
        <w:spacing w:before="0"/>
        <w:jc w:val="center"/>
        <w:outlineLvl w:val="0"/>
        <w:rPr>
          <w:rFonts w:ascii="Newsletter Sans SC" w:eastAsia="Newsletter Sans SC" w:hAnsi="Newsletter Sans SC" w:cs="Newsletter Sans SC" w:hint="eastAsia"/>
          <w:b/>
          <w:bCs/>
          <w:color w:val="000000"/>
          <w:kern w:val="36"/>
          <w:sz w:val="24"/>
          <w:lang w:val="en-US" w:eastAsia="zh-CN"/>
        </w:rPr>
      </w:pPr>
      <w:r w:rsidRPr="006C3F59">
        <w:rPr>
          <w:rFonts w:ascii="Newsletter Sans SC" w:eastAsia="Newsletter Sans SC" w:hAnsi="Newsletter Sans SC" w:cs="Newsletter Sans SC"/>
          <w:b/>
          <w:bCs/>
          <w:noProof/>
          <w:color w:val="000000"/>
          <w:kern w:val="36"/>
          <w:sz w:val="24"/>
          <w:lang w:eastAsia="zh-CN"/>
        </w:rPr>
        <w:drawing>
          <wp:inline distT="0" distB="0" distL="0" distR="0" wp14:anchorId="60431849" wp14:editId="0907A3A1">
            <wp:extent cx="3695700" cy="2428875"/>
            <wp:effectExtent l="0" t="0" r="0" b="9525"/>
            <wp:docPr id="5" name="Picture 4">
              <a:extLst xmlns:a="http://schemas.openxmlformats.org/drawingml/2006/main">
                <a:ext uri="{FF2B5EF4-FFF2-40B4-BE49-F238E27FC236}">
                  <a16:creationId xmlns:a16="http://schemas.microsoft.com/office/drawing/2014/main" id="{F7F566E8-9032-4A98-922B-EE5BC6E0C3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7F566E8-9032-4A98-922B-EE5BC6E0C340}"/>
                        </a:ext>
                      </a:extLst>
                    </pic:cNvPr>
                    <pic:cNvPicPr>
                      <a:picLocks noChangeAspect="1"/>
                    </pic:cNvPicPr>
                  </pic:nvPicPr>
                  <pic:blipFill>
                    <a:blip r:embed="rId7"/>
                    <a:stretch>
                      <a:fillRect/>
                    </a:stretch>
                  </pic:blipFill>
                  <pic:spPr>
                    <a:xfrm>
                      <a:off x="0" y="0"/>
                      <a:ext cx="3695700" cy="2428875"/>
                    </a:xfrm>
                    <a:prstGeom prst="rect">
                      <a:avLst/>
                    </a:prstGeom>
                    <a:ln>
                      <a:noFill/>
                    </a:ln>
                    <a:effectLst>
                      <a:softEdge rad="112500"/>
                    </a:effectLst>
                  </pic:spPr>
                </pic:pic>
              </a:graphicData>
            </a:graphic>
          </wp:inline>
        </w:drawing>
      </w:r>
    </w:p>
    <w:p>
      <w:pPr>
        <w:keepNext w:val="0"/>
        <w:spacing w:before="0" w:after="80" w:line="276" w:lineRule="auto"/>
        <w:jc w:val="center"/>
      </w:pPr>
      <w:r>
        <w:rPr>
          <w:rFonts w:ascii="Newsletter Sans SC" w:hAnsi="Newsletter Sans SC" w:eastAsia="Newsletter Sans SC" w:cs="Newsletter Sans SC"/>
          <w:b/>
          <w:sz w:val="40"/>
        </w:rPr>
        <w:t>宠物食品与动物饲料行业周报</w:t>
      </w:r>
    </w:p>
    <w:p>
      <w:pPr>
        <w:keepNext w:val="0"/>
        <w:spacing w:before="0" w:after="160" w:line="276" w:lineRule="auto"/>
        <w:jc w:val="center"/>
      </w:pPr>
      <w:r>
        <w:rPr>
          <w:rFonts w:ascii="Newsletter Sans SC" w:hAnsi="Newsletter Sans SC" w:eastAsia="Newsletter Sans SC" w:cs="Newsletter Sans SC"/>
          <w:b/>
          <w:sz w:val="24"/>
        </w:rPr>
        <w:t>2026-09-12 至 2026-09-18</w:t>
      </w:r>
    </w:p>
    <w:p>
      <w:pPr>
        <w:keepNext w:val="0"/>
        <w:spacing w:before="0" w:after="160" w:line="276" w:lineRule="auto"/>
      </w:pPr>
      <w:r>
        <w:rPr>
          <w:rFonts w:ascii="Newsletter Sans SC" w:hAnsi="Newsletter Sans SC" w:eastAsia="Newsletter Sans SC" w:cs="Newsletter Sans SC"/>
          <w:b w:val="0"/>
          <w:sz w:val="19"/>
        </w:rPr>
        <w:t>本期仅纳入监管验证日、官方发布日期或来源披露日严格落在 2026-09-12 至 2026-09-18 的事项。官方监管、科学意见、企业回应和消费信号按证据性质分层表述。</w:t>
      </w:r>
    </w:p>
    <w:p>
      <w:pPr>
        <w:keepNext/>
        <w:spacing w:before="60" w:after="80" w:line="276" w:lineRule="auto"/>
      </w:pPr>
      <w:r>
        <w:rPr>
          <w:rFonts w:ascii="Newsletter Sans SC" w:hAnsi="Newsletter Sans SC" w:eastAsia="Newsletter Sans SC" w:cs="Newsletter Sans SC"/>
          <w:b/>
          <w:sz w:val="30"/>
        </w:rPr>
        <w:t>一、本周重点</w:t>
      </w:r>
    </w:p>
    <w:p>
      <w:pPr>
        <w:keepNext w:val="0"/>
        <w:spacing w:before="0" w:after="40" w:line="276" w:lineRule="auto"/>
      </w:pPr>
      <w:r>
        <w:rPr>
          <w:rFonts w:ascii="Newsletter Sans SC" w:hAnsi="Newsletter Sans SC" w:eastAsia="Newsletter Sans SC" w:cs="Newsletter Sans SC"/>
          <w:b w:val="0"/>
          <w:sz w:val="20"/>
        </w:rPr>
        <w:t>欧盟 RASFF 本期出现 5 条饲料相关通报。克罗地亚宠物食品检出 Salmonella 和较高水平肠杆菌科，并已分销至 7 个成员国；其余事项涉及仔猪饲料硒、白小米豚草籽、棕榈脂肪酸馏出物二噁英和菜籽粕 Salmonella。</w:t>
      </w:r>
    </w:p>
    <w:p>
      <w:pPr>
        <w:keepNext w:val="0"/>
        <w:spacing w:before="0" w:after="40" w:line="276" w:lineRule="auto"/>
      </w:pPr>
      <w:r>
        <w:rPr>
          <w:rFonts w:ascii="Newsletter Sans SC" w:hAnsi="Newsletter Sans SC" w:eastAsia="Newsletter Sans SC" w:cs="Newsletter Sans SC"/>
          <w:b w:val="0"/>
          <w:sz w:val="20"/>
        </w:rPr>
        <w:t>加拿大食品检验局于 9 月 15 日就美国热处理宠物食品进口条件征求意见，拟调整适用产品与处理地点的问卷脚注，并更强调可验证的加工结果；意见截止 2026 年 10 月 15 日。</w:t>
      </w:r>
    </w:p>
    <w:p>
      <w:pPr>
        <w:keepNext w:val="0"/>
        <w:spacing w:before="0" w:after="40" w:line="276" w:lineRule="auto"/>
      </w:pPr>
      <w:r>
        <w:rPr>
          <w:rFonts w:ascii="Newsletter Sans SC" w:hAnsi="Newsletter Sans SC" w:eastAsia="Newsletter Sans SC" w:cs="Newsletter Sans SC"/>
          <w:b w:val="0"/>
          <w:sz w:val="20"/>
        </w:rPr>
        <w:t>欧盟本周同时推进饲料添加剂科学评估与法规更新，涉及伏马菌素酯酶、两种氨基酸、Interban、胆碱氯化物、珍珠岩、两菌制剂和肉豆蔻精油；另更新非洲猪瘟特殊控制分区。</w:t>
      </w:r>
    </w:p>
    <w:p>
      <w:pPr>
        <w:keepNext w:val="0"/>
        <w:spacing w:before="0" w:after="40" w:line="276" w:lineRule="auto"/>
      </w:pPr>
      <w:r>
        <w:rPr>
          <w:rFonts w:ascii="Newsletter Sans SC" w:hAnsi="Newsletter Sans SC" w:eastAsia="Newsletter Sans SC" w:cs="Newsletter Sans SC"/>
          <w:b w:val="0"/>
          <w:sz w:val="20"/>
        </w:rPr>
        <w:t>中国官方监测显示豆粕均价为 3.36 元/公斤，环比和同比均上涨 1.5%，配合饲料价格暂稳；另有猫粮异物投诉及企业客服核查回应，但尚无监管结论或已确认因果。</w:t>
      </w:r>
    </w:p>
    <w:p>
      <w:r>
        <w:br w:type="page"/>
      </w:r>
    </w:p>
    <w:p>
      <w:pPr>
        <w:keepNext/>
        <w:spacing w:before="60" w:after="80" w:line="276" w:lineRule="auto"/>
      </w:pPr>
      <w:r>
        <w:rPr>
          <w:rFonts w:ascii="Newsletter Sans SC" w:hAnsi="Newsletter Sans SC" w:eastAsia="Newsletter Sans SC" w:cs="Newsletter Sans SC"/>
          <w:b/>
          <w:sz w:val="30"/>
        </w:rPr>
        <w:t>二、本周风险与行动快表</w:t>
      </w:r>
    </w:p>
    <w:tbl>
      <w:tblPr>
        <w:tblStyle w:val="afb"/>
        <w:tblW w:type="dxa" w:w="9677"/>
        <w:jc w:val="center"/>
        <w:tblLayout w:type="fixed"/>
        <w:tblLook w:firstColumn="1" w:firstRow="1" w:lastColumn="0" w:lastRow="0" w:noHBand="0" w:noVBand="1" w:val="04A0"/>
      </w:tblPr>
      <w:tblGrid>
        <w:gridCol w:w="835"/>
        <w:gridCol w:w="1613"/>
        <w:gridCol w:w="1296"/>
        <w:gridCol w:w="2462"/>
        <w:gridCol w:w="792"/>
        <w:gridCol w:w="2678"/>
      </w:tblGrid>
      <w:tr>
        <w:trPr>
          <w:tblHeader w:val="true"/>
          <w:cantSplit/>
        </w:trPr>
        <w:tc>
          <w:tcPr>
            <w:tcW w:type="dxa" w:w="835"/>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日期</w:t>
            </w:r>
          </w:p>
        </w:tc>
        <w:tc>
          <w:tcPr>
            <w:tcW w:type="dxa" w:w="1613"/>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来源/编号</w:t>
            </w:r>
          </w:p>
        </w:tc>
        <w:tc>
          <w:tcPr>
            <w:tcW w:type="dxa" w:w="1296"/>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产品/对象</w:t>
            </w:r>
          </w:p>
        </w:tc>
        <w:tc>
          <w:tcPr>
            <w:tcW w:type="dxa" w:w="2462"/>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事项</w:t>
            </w:r>
          </w:p>
        </w:tc>
        <w:tc>
          <w:tcPr>
            <w:tcW w:type="dxa" w:w="792"/>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优先级</w:t>
            </w:r>
          </w:p>
        </w:tc>
        <w:tc>
          <w:tcPr>
            <w:tcW w:type="dxa" w:w="2678"/>
            <w:vAlign w:val="center"/>
            <w:shd w:fill="7F7F7F"/>
            <w:tcMar>
              <w:top w:w="75" w:type="dxa"/>
              <w:start w:w="75" w:type="dxa"/>
              <w:bottom w:w="75" w:type="dxa"/>
              <w:end w:w="75" w:type="dxa"/>
            </w:tcMar>
          </w:tcPr>
          <w:p>
            <w:pPr>
              <w:spacing w:after="0" w:line="247" w:lineRule="auto"/>
              <w:jc w:val="center"/>
            </w:pPr>
            <w:r/>
            <w:r>
              <w:rPr>
                <w:rFonts w:ascii="Newsletter Sans SC" w:hAnsi="Newsletter Sans SC" w:eastAsia="Newsletter Sans SC" w:cs="Newsletter Sans SC"/>
                <w:b/>
                <w:color w:val="FFFFFF"/>
                <w:sz w:val="16"/>
              </w:rPr>
              <w:t>本周建议动作</w:t>
            </w:r>
          </w:p>
        </w:tc>
      </w:tr>
      <w:tr>
        <w:trPr>
          <w:cantSplit/>
        </w:trPr>
        <w:tc>
          <w:tcPr>
            <w:tcW w:type="dxa" w:w="835"/>
            <w:vAlign w:val="center"/>
            <w:tcMar>
              <w:top w:w="75" w:type="dxa"/>
              <w:start w:w="75" w:type="dxa"/>
              <w:bottom w:w="75" w:type="dxa"/>
              <w:end w:w="75" w:type="dxa"/>
            </w:tcMar>
          </w:tcPr>
          <w:p>
            <w:pPr>
              <w:spacing w:after="0" w:line="247" w:lineRule="auto"/>
              <w:jc w:val="center"/>
            </w:pPr>
            <w:r>
              <w:t>09-16</w:t>
            </w:r>
          </w:p>
        </w:tc>
        <w:tc>
          <w:tcPr>
            <w:tcW w:type="dxa" w:w="1613"/>
            <w:vAlign w:val="center"/>
            <w:tcMar>
              <w:top w:w="75" w:type="dxa"/>
              <w:start w:w="75" w:type="dxa"/>
              <w:bottom w:w="75" w:type="dxa"/>
              <w:end w:w="75" w:type="dxa"/>
            </w:tcMar>
          </w:tcPr>
          <w:p>
            <w:pPr>
              <w:spacing w:after="0" w:line="247" w:lineRule="auto"/>
            </w:pPr>
            <w:r>
              <w:t>RASFF</w:t>
            </w:r>
            <w:r>
              <w:br/>
              <w:t>2026.8204</w:t>
            </w:r>
          </w:p>
        </w:tc>
        <w:tc>
          <w:tcPr>
            <w:tcW w:type="dxa" w:w="1296"/>
            <w:vAlign w:val="center"/>
            <w:tcMar>
              <w:top w:w="75" w:type="dxa"/>
              <w:start w:w="75" w:type="dxa"/>
              <w:bottom w:w="75" w:type="dxa"/>
              <w:end w:w="75" w:type="dxa"/>
            </w:tcMar>
          </w:tcPr>
          <w:p>
            <w:pPr>
              <w:spacing w:after="0" w:line="247" w:lineRule="auto"/>
            </w:pPr>
            <w:r>
              <w:t>克罗地亚</w:t>
            </w:r>
            <w:r>
              <w:br/>
              <w:t>宠物食品</w:t>
            </w:r>
          </w:p>
        </w:tc>
        <w:tc>
          <w:tcPr>
            <w:tcW w:type="dxa" w:w="2462"/>
            <w:vAlign w:val="center"/>
            <w:tcMar>
              <w:top w:w="75" w:type="dxa"/>
              <w:start w:w="75" w:type="dxa"/>
              <w:bottom w:w="75" w:type="dxa"/>
              <w:end w:w="75" w:type="dxa"/>
            </w:tcMar>
          </w:tcPr>
          <w:p>
            <w:pPr>
              <w:spacing w:after="0" w:line="247" w:lineRule="auto"/>
            </w:pPr>
            <w:r>
              <w:t>Salmonella 与肠杆菌科；潜在严重风险；已分销多国并召回/撤市。</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隔离相关产品，复核成品与环境病原控制并核对多国库存。</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09-16</w:t>
            </w:r>
            <w:r>
              <w:br/>
              <w:t>09-17</w:t>
            </w:r>
          </w:p>
        </w:tc>
        <w:tc>
          <w:tcPr>
            <w:tcW w:type="dxa" w:w="1613"/>
            <w:vAlign w:val="center"/>
            <w:shd w:fill="F2F2F2"/>
            <w:tcMar>
              <w:top w:w="75" w:type="dxa"/>
              <w:start w:w="75" w:type="dxa"/>
              <w:bottom w:w="75" w:type="dxa"/>
              <w:end w:w="75" w:type="dxa"/>
            </w:tcMar>
          </w:tcPr>
          <w:p>
            <w:pPr>
              <w:spacing w:after="0" w:line="247" w:lineRule="auto"/>
            </w:pPr>
            <w:r>
              <w:t>RASFF</w:t>
            </w:r>
            <w:r>
              <w:br/>
              <w:t>2026.8197 / .8238</w:t>
            </w:r>
          </w:p>
        </w:tc>
        <w:tc>
          <w:tcPr>
            <w:tcW w:type="dxa" w:w="1296"/>
            <w:vAlign w:val="center"/>
            <w:shd w:fill="F2F2F2"/>
            <w:tcMar>
              <w:top w:w="75" w:type="dxa"/>
              <w:start w:w="75" w:type="dxa"/>
              <w:bottom w:w="75" w:type="dxa"/>
              <w:end w:w="75" w:type="dxa"/>
            </w:tcMar>
          </w:tcPr>
          <w:p>
            <w:pPr>
              <w:spacing w:after="0" w:line="247" w:lineRule="auto"/>
            </w:pPr>
            <w:r>
              <w:t>仔猪饲料 /</w:t>
            </w:r>
            <w:r>
              <w:br/>
              <w:t>白小米</w:t>
            </w:r>
          </w:p>
        </w:tc>
        <w:tc>
          <w:tcPr>
            <w:tcW w:type="dxa" w:w="2462"/>
            <w:vAlign w:val="center"/>
            <w:shd w:fill="F2F2F2"/>
            <w:tcMar>
              <w:top w:w="75" w:type="dxa"/>
              <w:start w:w="75" w:type="dxa"/>
              <w:bottom w:w="75" w:type="dxa"/>
              <w:end w:w="75" w:type="dxa"/>
            </w:tcMar>
          </w:tcPr>
          <w:p>
            <w:pPr>
              <w:spacing w:after="0" w:line="247" w:lineRule="auto"/>
            </w:pPr>
            <w:r>
              <w:t>硒含量过高；豚草籽 239 mg/kg，超过 200 mg/kg 限值。</w:t>
            </w:r>
          </w:p>
        </w:tc>
        <w:tc>
          <w:tcPr>
            <w:tcW w:type="dxa" w:w="792"/>
            <w:vAlign w:val="center"/>
            <w:shd w:fill="F2F2F2"/>
            <w:tcMar>
              <w:top w:w="75" w:type="dxa"/>
              <w:start w:w="75" w:type="dxa"/>
              <w:bottom w:w="75" w:type="dxa"/>
              <w:end w:w="75" w:type="dxa"/>
            </w:tcMar>
          </w:tcPr>
          <w:p>
            <w:pPr>
              <w:spacing w:after="0" w:line="247" w:lineRule="auto"/>
              <w:jc w:val="center"/>
            </w:pPr>
            <w:r>
              <w:t>高</w:t>
            </w:r>
          </w:p>
        </w:tc>
        <w:tc>
          <w:tcPr>
            <w:tcW w:type="dxa" w:w="2678"/>
            <w:vAlign w:val="center"/>
            <w:shd w:fill="F2F2F2"/>
            <w:tcMar>
              <w:top w:w="75" w:type="dxa"/>
              <w:start w:w="75" w:type="dxa"/>
              <w:bottom w:w="75" w:type="dxa"/>
              <w:end w:w="75" w:type="dxa"/>
            </w:tcMar>
          </w:tcPr>
          <w:p>
            <w:pPr>
              <w:spacing w:after="0" w:line="247" w:lineRule="auto"/>
            </w:pPr>
            <w:r>
              <w:t>复核配方与原料筛理、规格限值、供应商放行和关联批次。</w:t>
            </w:r>
          </w:p>
        </w:tc>
      </w:tr>
      <w:tr>
        <w:trPr>
          <w:cantSplit/>
        </w:trPr>
        <w:tc>
          <w:tcPr>
            <w:tcW w:type="dxa" w:w="835"/>
            <w:vAlign w:val="center"/>
            <w:tcMar>
              <w:top w:w="75" w:type="dxa"/>
              <w:start w:w="75" w:type="dxa"/>
              <w:bottom w:w="75" w:type="dxa"/>
              <w:end w:w="75" w:type="dxa"/>
            </w:tcMar>
          </w:tcPr>
          <w:p>
            <w:pPr>
              <w:spacing w:after="0" w:line="247" w:lineRule="auto"/>
              <w:jc w:val="center"/>
            </w:pPr>
            <w:r>
              <w:t>09-14</w:t>
            </w:r>
            <w:r>
              <w:br/>
              <w:t>09-15</w:t>
            </w:r>
          </w:p>
        </w:tc>
        <w:tc>
          <w:tcPr>
            <w:tcW w:type="dxa" w:w="1613"/>
            <w:vAlign w:val="center"/>
            <w:tcMar>
              <w:top w:w="75" w:type="dxa"/>
              <w:start w:w="75" w:type="dxa"/>
              <w:bottom w:w="75" w:type="dxa"/>
              <w:end w:w="75" w:type="dxa"/>
            </w:tcMar>
          </w:tcPr>
          <w:p>
            <w:pPr>
              <w:spacing w:after="0" w:line="247" w:lineRule="auto"/>
            </w:pPr>
            <w:r>
              <w:t>RASFF</w:t>
            </w:r>
            <w:r>
              <w:br/>
              <w:t>2026.8120 / .8148</w:t>
            </w:r>
          </w:p>
        </w:tc>
        <w:tc>
          <w:tcPr>
            <w:tcW w:type="dxa" w:w="1296"/>
            <w:vAlign w:val="center"/>
            <w:tcMar>
              <w:top w:w="75" w:type="dxa"/>
              <w:start w:w="75" w:type="dxa"/>
              <w:bottom w:w="75" w:type="dxa"/>
              <w:end w:w="75" w:type="dxa"/>
            </w:tcMar>
          </w:tcPr>
          <w:p>
            <w:pPr>
              <w:spacing w:after="0" w:line="247" w:lineRule="auto"/>
            </w:pPr>
            <w:r>
              <w:t>棕榈脂肪酸馏出物 /</w:t>
            </w:r>
            <w:r>
              <w:br/>
              <w:t>菜籽粕</w:t>
            </w:r>
          </w:p>
        </w:tc>
        <w:tc>
          <w:tcPr>
            <w:tcW w:type="dxa" w:w="2462"/>
            <w:vAlign w:val="center"/>
            <w:tcMar>
              <w:top w:w="75" w:type="dxa"/>
              <w:start w:w="75" w:type="dxa"/>
              <w:bottom w:w="75" w:type="dxa"/>
              <w:end w:w="75" w:type="dxa"/>
            </w:tcMar>
          </w:tcPr>
          <w:p>
            <w:pPr>
              <w:spacing w:after="0" w:line="247" w:lineRule="auto"/>
            </w:pPr>
            <w:r>
              <w:t>二噁英超过限值；菜籽粕 Salmonella 阳性/25 g。</w:t>
            </w:r>
          </w:p>
        </w:tc>
        <w:tc>
          <w:tcPr>
            <w:tcW w:type="dxa" w:w="792"/>
            <w:vAlign w:val="center"/>
            <w:tcMar>
              <w:top w:w="75" w:type="dxa"/>
              <w:start w:w="75" w:type="dxa"/>
              <w:bottom w:w="75" w:type="dxa"/>
              <w:end w:w="75" w:type="dxa"/>
            </w:tcMar>
          </w:tcPr>
          <w:p>
            <w:pPr>
              <w:spacing w:after="0" w:line="247" w:lineRule="auto"/>
              <w:jc w:val="center"/>
            </w:pPr>
            <w:r>
              <w:t>高</w:t>
            </w:r>
          </w:p>
        </w:tc>
        <w:tc>
          <w:tcPr>
            <w:tcW w:type="dxa" w:w="2678"/>
            <w:vAlign w:val="center"/>
            <w:tcMar>
              <w:top w:w="75" w:type="dxa"/>
              <w:start w:w="75" w:type="dxa"/>
              <w:bottom w:w="75" w:type="dxa"/>
              <w:end w:w="75" w:type="dxa"/>
            </w:tcMar>
          </w:tcPr>
          <w:p>
            <w:pPr>
              <w:spacing w:after="0" w:line="247" w:lineRule="auto"/>
            </w:pPr>
            <w:r>
              <w:t>执行污染物与病原菌持有放行，追溯供应商和相邻批次。</w:t>
            </w:r>
          </w:p>
        </w:tc>
      </w:tr>
      <w:tr>
        <w:trPr>
          <w:cantSplit/>
        </w:trPr>
        <w:tc>
          <w:tcPr>
            <w:tcW w:type="dxa" w:w="835"/>
            <w:vAlign w:val="center"/>
            <w:shd w:fill="F2F2F2"/>
            <w:tcMar>
              <w:top w:w="75" w:type="dxa"/>
              <w:start w:w="75" w:type="dxa"/>
              <w:bottom w:w="75" w:type="dxa"/>
              <w:end w:w="75" w:type="dxa"/>
            </w:tcMar>
          </w:tcPr>
          <w:p>
            <w:pPr>
              <w:spacing w:after="0" w:line="247" w:lineRule="auto"/>
              <w:jc w:val="center"/>
            </w:pPr>
            <w:r>
              <w:t>09-15</w:t>
            </w:r>
          </w:p>
        </w:tc>
        <w:tc>
          <w:tcPr>
            <w:tcW w:type="dxa" w:w="1613"/>
            <w:vAlign w:val="center"/>
            <w:shd w:fill="F2F2F2"/>
            <w:tcMar>
              <w:top w:w="75" w:type="dxa"/>
              <w:start w:w="75" w:type="dxa"/>
              <w:bottom w:w="75" w:type="dxa"/>
              <w:end w:w="75" w:type="dxa"/>
            </w:tcMar>
          </w:tcPr>
          <w:p>
            <w:pPr>
              <w:spacing w:after="0" w:line="247" w:lineRule="auto"/>
            </w:pPr>
            <w:r>
              <w:t>CFIA</w:t>
            </w:r>
            <w:r>
              <w:br/>
              <w:t>征求意见</w:t>
            </w:r>
          </w:p>
        </w:tc>
        <w:tc>
          <w:tcPr>
            <w:tcW w:type="dxa" w:w="1296"/>
            <w:vAlign w:val="center"/>
            <w:shd w:fill="F2F2F2"/>
            <w:tcMar>
              <w:top w:w="75" w:type="dxa"/>
              <w:start w:w="75" w:type="dxa"/>
              <w:bottom w:w="75" w:type="dxa"/>
              <w:end w:w="75" w:type="dxa"/>
            </w:tcMar>
          </w:tcPr>
          <w:p>
            <w:pPr>
              <w:spacing w:after="0" w:line="247" w:lineRule="auto"/>
            </w:pPr>
            <w:r>
              <w:t>美国热处理</w:t>
            </w:r>
            <w:r>
              <w:br/>
              <w:t>宠物食品</w:t>
            </w:r>
          </w:p>
        </w:tc>
        <w:tc>
          <w:tcPr>
            <w:tcW w:type="dxa" w:w="2462"/>
            <w:vAlign w:val="center"/>
            <w:shd w:fill="F2F2F2"/>
            <w:tcMar>
              <w:top w:w="75" w:type="dxa"/>
              <w:start w:w="75" w:type="dxa"/>
              <w:bottom w:w="75" w:type="dxa"/>
              <w:end w:w="75" w:type="dxa"/>
            </w:tcMar>
          </w:tcPr>
          <w:p>
            <w:pPr>
              <w:spacing w:after="0" w:line="247" w:lineRule="auto"/>
            </w:pPr>
            <w:r>
              <w:t>拟调整进口问卷脚注与处理条件；尚非最终要求。</w:t>
            </w:r>
          </w:p>
        </w:tc>
        <w:tc>
          <w:tcPr>
            <w:tcW w:type="dxa" w:w="792"/>
            <w:vAlign w:val="center"/>
            <w:shd w:fill="F2F2F2"/>
            <w:tcMar>
              <w:top w:w="75" w:type="dxa"/>
              <w:start w:w="75" w:type="dxa"/>
              <w:bottom w:w="75" w:type="dxa"/>
              <w:end w:w="75" w:type="dxa"/>
            </w:tcMar>
          </w:tcPr>
          <w:p>
            <w:pPr>
              <w:spacing w:after="0" w:line="247" w:lineRule="auto"/>
              <w:jc w:val="center"/>
            </w:pPr>
            <w:r>
              <w:t>中高</w:t>
            </w:r>
          </w:p>
        </w:tc>
        <w:tc>
          <w:tcPr>
            <w:tcW w:type="dxa" w:w="2678"/>
            <w:vAlign w:val="center"/>
            <w:shd w:fill="F2F2F2"/>
            <w:tcMar>
              <w:top w:w="75" w:type="dxa"/>
              <w:start w:w="75" w:type="dxa"/>
              <w:bottom w:w="75" w:type="dxa"/>
              <w:end w:w="75" w:type="dxa"/>
            </w:tcMar>
          </w:tcPr>
          <w:p>
            <w:pPr>
              <w:spacing w:after="0" w:line="247" w:lineRule="auto"/>
            </w:pPr>
            <w:r>
              <w:t>映射动物源成分和处理地点，评估并在 10 月 15 日前反馈。</w:t>
            </w:r>
          </w:p>
        </w:tc>
      </w:tr>
      <w:tr>
        <w:trPr>
          <w:cantSplit/>
        </w:trPr>
        <w:tc>
          <w:tcPr>
            <w:tcW w:type="dxa" w:w="835"/>
            <w:vAlign w:val="center"/>
            <w:tcMar>
              <w:top w:w="75" w:type="dxa"/>
              <w:start w:w="75" w:type="dxa"/>
              <w:bottom w:w="75" w:type="dxa"/>
              <w:end w:w="75" w:type="dxa"/>
            </w:tcMar>
          </w:tcPr>
          <w:p>
            <w:pPr>
              <w:spacing w:after="0" w:line="247" w:lineRule="auto"/>
              <w:jc w:val="center"/>
            </w:pPr>
            <w:r>
              <w:t>09-14</w:t>
            </w:r>
            <w:r>
              <w:br/>
              <w:t>09-18</w:t>
            </w:r>
          </w:p>
        </w:tc>
        <w:tc>
          <w:tcPr>
            <w:tcW w:type="dxa" w:w="1613"/>
            <w:vAlign w:val="center"/>
            <w:tcMar>
              <w:top w:w="75" w:type="dxa"/>
              <w:start w:w="75" w:type="dxa"/>
              <w:bottom w:w="75" w:type="dxa"/>
              <w:end w:w="75" w:type="dxa"/>
            </w:tcMar>
          </w:tcPr>
          <w:p>
            <w:pPr>
              <w:spacing w:after="0" w:line="247" w:lineRule="auto"/>
            </w:pPr>
            <w:r>
              <w:t>EFSA / EUR-Lex</w:t>
            </w:r>
          </w:p>
        </w:tc>
        <w:tc>
          <w:tcPr>
            <w:tcW w:type="dxa" w:w="1296"/>
            <w:vAlign w:val="center"/>
            <w:tcMar>
              <w:top w:w="75" w:type="dxa"/>
              <w:start w:w="75" w:type="dxa"/>
              <w:bottom w:w="75" w:type="dxa"/>
              <w:end w:w="75" w:type="dxa"/>
            </w:tcMar>
          </w:tcPr>
          <w:p>
            <w:pPr>
              <w:spacing w:after="0" w:line="247" w:lineRule="auto"/>
            </w:pPr>
            <w:r>
              <w:t>饲料添加剂 /</w:t>
            </w:r>
            <w:r>
              <w:br/>
              <w:t>猪源材料</w:t>
            </w:r>
          </w:p>
        </w:tc>
        <w:tc>
          <w:tcPr>
            <w:tcW w:type="dxa" w:w="2462"/>
            <w:vAlign w:val="center"/>
            <w:tcMar>
              <w:top w:w="75" w:type="dxa"/>
              <w:start w:w="75" w:type="dxa"/>
              <w:bottom w:w="75" w:type="dxa"/>
              <w:end w:w="75" w:type="dxa"/>
            </w:tcMar>
          </w:tcPr>
          <w:p>
            <w:pPr>
              <w:spacing w:after="0" w:line="247" w:lineRule="auto"/>
            </w:pPr>
            <w:r>
              <w:t>添加剂科学与授权节点密集更新；ASF 分区同步调整。</w:t>
            </w:r>
          </w:p>
        </w:tc>
        <w:tc>
          <w:tcPr>
            <w:tcW w:type="dxa" w:w="792"/>
            <w:vAlign w:val="center"/>
            <w:tcMar>
              <w:top w:w="75" w:type="dxa"/>
              <w:start w:w="75" w:type="dxa"/>
              <w:bottom w:w="75" w:type="dxa"/>
              <w:end w:w="75" w:type="dxa"/>
            </w:tcMar>
          </w:tcPr>
          <w:p>
            <w:pPr>
              <w:spacing w:after="0" w:line="247" w:lineRule="auto"/>
              <w:jc w:val="center"/>
            </w:pPr>
            <w:r>
              <w:t>中高</w:t>
            </w:r>
          </w:p>
        </w:tc>
        <w:tc>
          <w:tcPr>
            <w:tcW w:type="dxa" w:w="2678"/>
            <w:vAlign w:val="center"/>
            <w:tcMar>
              <w:top w:w="75" w:type="dxa"/>
              <w:start w:w="75" w:type="dxa"/>
              <w:bottom w:w="75" w:type="dxa"/>
              <w:end w:w="75" w:type="dxa"/>
            </w:tcMar>
          </w:tcPr>
          <w:p>
            <w:pPr>
              <w:spacing w:after="0" w:line="247" w:lineRule="auto"/>
            </w:pPr>
            <w:r>
              <w:t>拆分物质/动物/剂量控制与产地/日期/证书控制。</w:t>
            </w:r>
          </w:p>
        </w:tc>
      </w:tr>
    </w:tbl>
    <w:p>
      <w:pPr>
        <w:keepNext w:val="0"/>
        <w:spacing w:before="140" w:after="60" w:line="276" w:lineRule="auto"/>
      </w:pPr>
      <w:r>
        <w:rPr>
          <w:rFonts w:ascii="Newsletter Sans SC" w:hAnsi="Newsletter Sans SC" w:eastAsia="Newsletter Sans SC" w:cs="Newsletter Sans SC"/>
          <w:b w:val="0"/>
          <w:sz w:val="18"/>
        </w:rPr>
        <w:t>说明：RASFF 事项为官方通报并按公共字段表述；加拿大内容为征求意见稿；EFSA 科学意见不等同于欧盟授权。中国异物投诉因果未确认，不进入本快表。</w:t>
      </w:r>
    </w:p>
    <w:p>
      <w:r>
        <w:br w:type="page"/>
      </w:r>
    </w:p>
    <w:p>
      <w:pPr>
        <w:keepNext/>
        <w:spacing w:before="60" w:after="80" w:line="276" w:lineRule="auto"/>
      </w:pPr>
      <w:r>
        <w:rPr>
          <w:rFonts w:ascii="Newsletter Sans SC" w:hAnsi="Newsletter Sans SC" w:eastAsia="Newsletter Sans SC" w:cs="Newsletter Sans SC"/>
          <w:b/>
          <w:sz w:val="30"/>
        </w:rPr>
        <w:t>三、重点资讯与管理建议</w:t>
      </w:r>
    </w:p>
    <w:p>
      <w:pPr>
        <w:keepNext/>
        <w:spacing w:before="40" w:after="60" w:line="276" w:lineRule="auto"/>
      </w:pPr>
      <w:r>
        <w:rPr>
          <w:rFonts w:ascii="Newsletter Sans SC" w:hAnsi="Newsletter Sans SC" w:eastAsia="Newsletter Sans SC" w:cs="Newsletter Sans SC"/>
          <w:b/>
          <w:sz w:val="22"/>
        </w:rPr>
        <w:t>1. RASFF 五条风险：宠物食品病原警报优先，原料与配方控制同步复核</w:t>
      </w:r>
    </w:p>
    <w:p>
      <w:pPr>
        <w:spacing w:after="60" w:line="276" w:lineRule="auto"/>
      </w:pPr>
      <w:r>
        <w:rPr>
          <w:rFonts w:ascii="Newsletter Sans SC" w:hAnsi="Newsletter Sans SC" w:eastAsia="Newsletter Sans SC" w:cs="Newsletter Sans SC"/>
          <w:b/>
          <w:sz w:val="20"/>
        </w:rPr>
        <w:t>日期依据：</w:t>
      </w:r>
      <w:r>
        <w:rPr>
          <w:rFonts w:ascii="Newsletter Sans SC" w:hAnsi="Newsletter Sans SC" w:eastAsia="Newsletter Sans SC" w:cs="Newsletter Sans SC"/>
          <w:b w:val="0"/>
          <w:sz w:val="20"/>
        </w:rPr>
        <w:t>RASFF 2026.8120、2026.8148、2026.8197、2026.8204 和 2026.8238 的欧盟验证日期为 2026-09-14 至 2026-09-17。</w:t>
      </w:r>
    </w:p>
    <w:p>
      <w:pPr>
        <w:spacing w:after="60" w:line="276" w:lineRule="auto"/>
      </w:pPr>
      <w:r>
        <w:rPr>
          <w:rFonts w:ascii="Newsletter Sans SC" w:hAnsi="Newsletter Sans SC" w:eastAsia="Newsletter Sans SC" w:cs="Newsletter Sans SC"/>
          <w:b/>
          <w:sz w:val="20"/>
        </w:rPr>
        <w:t>发生了什么：</w:t>
      </w:r>
      <w:r>
        <w:rPr>
          <w:rFonts w:ascii="Newsletter Sans SC" w:hAnsi="Newsletter Sans SC" w:eastAsia="Newsletter Sans SC" w:cs="Newsletter Sans SC"/>
          <w:b w:val="0"/>
          <w:sz w:val="20"/>
        </w:rPr>
        <w:t>2026.8204 为宠物食品警报，涉及 Salmonella 和肠杆菌科，产品由克罗地亚分销至 7 个成员国，已召回消费者产品并撤市。2026.8197 涉及比利时来源仔猪饲料硒含量过高；2026.8238 涉及法国白小米豚草籽 239 mg/kg，高于 200 mg/kg 限值。2026.8120 涉及马来西亚棕榈脂肪酸馏出物二噁英超过 0.75 ng/kg 限值；2026.8148 为捷克菜籽粕 Salmonella 阳性/25 g。</w:t>
      </w:r>
    </w:p>
    <w:p>
      <w:pPr>
        <w:spacing w:after="60" w:line="276" w:lineRule="auto"/>
      </w:pPr>
      <w:r>
        <w:rPr>
          <w:rFonts w:ascii="Newsletter Sans SC" w:hAnsi="Newsletter Sans SC" w:eastAsia="Newsletter Sans SC" w:cs="Newsletter Sans SC"/>
          <w:b/>
          <w:sz w:val="20"/>
        </w:rPr>
        <w:t>管理判断：</w:t>
      </w:r>
      <w:r>
        <w:rPr>
          <w:rFonts w:ascii="Newsletter Sans SC" w:hAnsi="Newsletter Sans SC" w:eastAsia="Newsletter Sans SC" w:cs="Newsletter Sans SC"/>
          <w:b w:val="0"/>
          <w:sz w:val="20"/>
        </w:rPr>
        <w:t>宠物食品警报兼具多国分销、潜在严重风险和消费者召回，应放在本周最高优先级。其余四项分别对应营养上限、物理性杂草籽污染、持久性有机污染物和病原菌控制，不能用同一套放行逻辑替代。</w:t>
      </w:r>
    </w:p>
    <w:p>
      <w:pPr>
        <w:spacing w:after="60" w:line="276" w:lineRule="auto"/>
      </w:pPr>
      <w:r>
        <w:rPr>
          <w:rFonts w:ascii="Newsletter Sans SC" w:hAnsi="Newsletter Sans SC" w:eastAsia="Newsletter Sans SC" w:cs="Newsletter Sans SC"/>
          <w:b/>
          <w:sz w:val="20"/>
        </w:rPr>
        <w:t>本周建议：</w:t>
      </w:r>
      <w:r>
        <w:rPr>
          <w:rFonts w:ascii="Newsletter Sans SC" w:hAnsi="Newsletter Sans SC" w:eastAsia="Newsletter Sans SC" w:cs="Newsletter Sans SC"/>
          <w:b w:val="0"/>
          <w:sz w:val="20"/>
        </w:rPr>
        <w:t>对涉及克罗地亚宠物食品的批次、客户和渠道立即核对；复核 Salmonella/肠杆菌科成品与环境监测。对仔猪饲料、白小米、油脂副产品和菜籽粕分别执行配方上限、筛理净度、二噁英和病原菌的持有放行，并横向追溯关联批次。</w:t>
      </w:r>
    </w:p>
    <w:p>
      <w:pPr>
        <w:spacing w:after="100" w:line="264" w:lineRule="auto"/>
      </w:pPr>
      <w:r>
        <w:rPr>
          <w:rFonts w:ascii="Newsletter Sans SC" w:hAnsi="Newsletter Sans SC" w:eastAsia="Newsletter Sans SC" w:cs="Newsletter Sans SC"/>
          <w:b/>
          <w:sz w:val="18"/>
        </w:rPr>
        <w:t>来源：</w:t>
      </w:r>
      <w:r>
        <w:rPr>
          <w:color w:val="0563C1"/>
          <w:u w:val="single"/>
          <w:rFonts w:eastAsia="Newsletter Sans SC" w:ascii="Newsletter Sans SC" w:hAnsi="Newsletter Sans SC" w:cs="Newsletter Sans SC"/>
          <w:sz w:val="18"/>
        </w:rPr>
        <w:t>S1-S5 RASFF 2026.8204、2026.8197、2026.8238、2026.8120、2026.8148</w:t>
      </w:r>
    </w:p>
    <w:p>
      <w:pPr>
        <w:keepNext/>
        <w:spacing w:before="40" w:after="60" w:line="276" w:lineRule="auto"/>
      </w:pPr>
      <w:r>
        <w:rPr>
          <w:rFonts w:ascii="Newsletter Sans SC" w:hAnsi="Newsletter Sans SC" w:eastAsia="Newsletter Sans SC" w:cs="Newsletter Sans SC"/>
          <w:b/>
          <w:sz w:val="22"/>
        </w:rPr>
        <w:t>2. 加拿大拟调整美国热处理宠物食品进口条件：先做供应链与工艺证据差距分析</w:t>
      </w:r>
    </w:p>
    <w:p>
      <w:pPr>
        <w:spacing w:after="60" w:line="276" w:lineRule="auto"/>
      </w:pPr>
      <w:r>
        <w:rPr>
          <w:rFonts w:ascii="Newsletter Sans SC" w:hAnsi="Newsletter Sans SC" w:eastAsia="Newsletter Sans SC" w:cs="Newsletter Sans SC"/>
          <w:b/>
          <w:sz w:val="20"/>
        </w:rPr>
        <w:t>日期依据：</w:t>
      </w:r>
      <w:r>
        <w:rPr>
          <w:rFonts w:ascii="Newsletter Sans SC" w:hAnsi="Newsletter Sans SC" w:eastAsia="Newsletter Sans SC" w:cs="Newsletter Sans SC"/>
          <w:b w:val="0"/>
          <w:sz w:val="20"/>
        </w:rPr>
        <w:t>加拿大食品检验局提案发布日期为 2026-09-15，征求意见截止日为 2026-10-15。</w:t>
      </w:r>
    </w:p>
    <w:p>
      <w:pPr>
        <w:spacing w:after="60" w:line="276" w:lineRule="auto"/>
      </w:pPr>
      <w:r>
        <w:rPr>
          <w:rFonts w:ascii="Newsletter Sans SC" w:hAnsi="Newsletter Sans SC" w:eastAsia="Newsletter Sans SC" w:cs="Newsletter Sans SC"/>
          <w:b/>
          <w:sz w:val="20"/>
        </w:rPr>
        <w:t>发生了什么：</w:t>
      </w:r>
      <w:r>
        <w:rPr>
          <w:rFonts w:ascii="Newsletter Sans SC" w:hAnsi="Newsletter Sans SC" w:eastAsia="Newsletter Sans SC" w:cs="Newsletter Sans SC"/>
          <w:b w:val="0"/>
          <w:sz w:val="20"/>
        </w:rPr>
        <w:t>CFIA 拟调整美国输加热处理宠物食品、零食、复合咀嚼物和宠物补充剂相关问卷的两处脚注，扩大特定处理地点/物种情形并强化结果导向的热处理条件。现阶段为意见征集，不是已生效的最终进口要求。</w:t>
      </w:r>
    </w:p>
    <w:p>
      <w:pPr>
        <w:spacing w:after="60" w:line="276" w:lineRule="auto"/>
      </w:pPr>
      <w:r>
        <w:rPr>
          <w:rFonts w:ascii="Newsletter Sans SC" w:hAnsi="Newsletter Sans SC" w:eastAsia="Newsletter Sans SC" w:cs="Newsletter Sans SC"/>
          <w:b/>
          <w:sz w:val="20"/>
        </w:rPr>
        <w:t>管理判断：</w:t>
      </w:r>
      <w:r>
        <w:rPr>
          <w:rFonts w:ascii="Newsletter Sans SC" w:hAnsi="Newsletter Sans SC" w:eastAsia="Newsletter Sans SC" w:cs="Newsletter Sans SC"/>
          <w:b w:val="0"/>
          <w:sz w:val="20"/>
        </w:rPr>
        <w:t>该变化可能影响动物源原料的加工国家、生产设施、热处理验证以及 USDA/CFIA 证书链。企业不能只看最终装运工厂，还需穿透到每一种动物源成分的来源与处理地点。</w:t>
      </w:r>
    </w:p>
    <w:p>
      <w:pPr>
        <w:spacing w:after="60" w:line="276" w:lineRule="auto"/>
      </w:pPr>
      <w:r>
        <w:rPr>
          <w:rFonts w:ascii="Newsletter Sans SC" w:hAnsi="Newsletter Sans SC" w:eastAsia="Newsletter Sans SC" w:cs="Newsletter Sans SC"/>
          <w:b/>
          <w:sz w:val="20"/>
        </w:rPr>
        <w:t>本周建议：</w:t>
      </w:r>
      <w:r>
        <w:rPr>
          <w:rFonts w:ascii="Newsletter Sans SC" w:hAnsi="Newsletter Sans SC" w:eastAsia="Newsletter Sans SC" w:cs="Newsletter Sans SC"/>
          <w:b w:val="0"/>
          <w:sz w:val="20"/>
        </w:rPr>
        <w:t>逐一映射动物源成分、物种、原产国、处理国、工厂和热处理参数，对照现行问卷与拟议脚注形成差距表；对无法由现有证书或工艺验证覆盖的情形，在 10 月 15 日前准备意见或过渡方案。</w:t>
      </w:r>
    </w:p>
    <w:p>
      <w:pPr>
        <w:spacing w:after="100" w:line="264" w:lineRule="auto"/>
      </w:pPr>
      <w:r>
        <w:rPr>
          <w:rFonts w:ascii="Newsletter Sans SC" w:hAnsi="Newsletter Sans SC" w:eastAsia="Newsletter Sans SC" w:cs="Newsletter Sans SC"/>
          <w:b/>
          <w:sz w:val="18"/>
        </w:rPr>
        <w:t>来源：</w:t>
      </w:r>
      <w:r>
        <w:rPr>
          <w:color w:val="0563C1"/>
          <w:u w:val="single"/>
          <w:rFonts w:eastAsia="Newsletter Sans SC" w:ascii="Newsletter Sans SC" w:hAnsi="Newsletter Sans SC" w:cs="Newsletter Sans SC"/>
          <w:sz w:val="18"/>
        </w:rPr>
        <w:t>S6 加拿大食品检验局</w:t>
      </w:r>
    </w:p>
    <w:p>
      <w:r>
        <w:br w:type="page"/>
      </w:r>
    </w:p>
    <w:p>
      <w:pPr>
        <w:keepNext/>
        <w:spacing w:before="60" w:after="80" w:line="276" w:lineRule="auto"/>
      </w:pPr>
      <w:r>
        <w:rPr>
          <w:rFonts w:ascii="Newsletter Sans SC" w:hAnsi="Newsletter Sans SC" w:eastAsia="Newsletter Sans SC" w:cs="Newsletter Sans SC"/>
          <w:b/>
          <w:sz w:val="30"/>
        </w:rPr>
        <w:t>四、国际法规与中国市场雷达</w:t>
      </w:r>
    </w:p>
    <w:p>
      <w:pPr>
        <w:keepNext/>
        <w:spacing w:before="40" w:after="60" w:line="276" w:lineRule="auto"/>
      </w:pPr>
      <w:r>
        <w:rPr>
          <w:rFonts w:ascii="Newsletter Sans SC" w:hAnsi="Newsletter Sans SC" w:eastAsia="Newsletter Sans SC" w:cs="Newsletter Sans SC"/>
          <w:b/>
          <w:sz w:val="22"/>
        </w:rPr>
        <w:t>3. 欧盟饲料添加剂科学与法规密集更新：区分科学意见、授权和更正</w:t>
      </w:r>
    </w:p>
    <w:p>
      <w:pPr>
        <w:spacing w:after="60" w:line="276" w:lineRule="auto"/>
      </w:pPr>
      <w:r>
        <w:rPr>
          <w:rFonts w:ascii="Newsletter Sans SC" w:hAnsi="Newsletter Sans SC" w:eastAsia="Newsletter Sans SC" w:cs="Newsletter Sans SC"/>
          <w:b/>
          <w:sz w:val="20"/>
        </w:rPr>
        <w:t>日期依据：</w:t>
      </w:r>
      <w:r>
        <w:rPr>
          <w:rFonts w:ascii="Newsletter Sans SC" w:hAnsi="Newsletter Sans SC" w:eastAsia="Newsletter Sans SC" w:cs="Newsletter Sans SC"/>
          <w:b w:val="0"/>
          <w:sz w:val="20"/>
        </w:rPr>
        <w:t>EFSA 意见发布于 2026-09-14 和 09-16；（EU）2026/2061、2070、2072、2074、2076 于 2026-09-18 发布。</w:t>
      </w:r>
    </w:p>
    <w:p>
      <w:pPr>
        <w:spacing w:after="60" w:line="276" w:lineRule="auto"/>
      </w:pPr>
      <w:r>
        <w:rPr>
          <w:rFonts w:ascii="Newsletter Sans SC" w:hAnsi="Newsletter Sans SC" w:eastAsia="Newsletter Sans SC" w:cs="Newsletter Sans SC"/>
          <w:b/>
          <w:sz w:val="20"/>
        </w:rPr>
        <w:t>发生了什么：</w:t>
      </w:r>
      <w:r>
        <w:rPr>
          <w:rFonts w:ascii="Newsletter Sans SC" w:hAnsi="Newsletter Sans SC" w:eastAsia="Newsletter Sans SC" w:cs="Newsletter Sans SC"/>
          <w:b w:val="0"/>
          <w:sz w:val="20"/>
        </w:rPr>
        <w:t>EFSA 评估伏马菌素酯酶用于所有陆生动物，并分别评估两种 L-异亮氨酸和一种 L-苏氨酸产品，强调适宜营养水平、饮水使用与反刍动物保护等边界。欧盟同日发布 Interban、胆碱氯化物中 2-氯乙醇表述更正、珍珠岩、两菌制剂和肉豆蔻精油等法规节点。</w:t>
      </w:r>
    </w:p>
    <w:p>
      <w:pPr>
        <w:spacing w:after="60" w:line="276" w:lineRule="auto"/>
      </w:pPr>
      <w:r>
        <w:rPr>
          <w:rFonts w:ascii="Newsletter Sans SC" w:hAnsi="Newsletter Sans SC" w:eastAsia="Newsletter Sans SC" w:cs="Newsletter Sans SC"/>
          <w:b/>
          <w:sz w:val="20"/>
        </w:rPr>
        <w:t>管理判断：</w:t>
      </w:r>
      <w:r>
        <w:rPr>
          <w:rFonts w:ascii="Newsletter Sans SC" w:hAnsi="Newsletter Sans SC" w:eastAsia="Newsletter Sans SC" w:cs="Newsletter Sans SC"/>
          <w:b w:val="0"/>
          <w:sz w:val="20"/>
        </w:rPr>
        <w:t>EFSA 意见是科学评估，不等同于授权；法规附件才决定物质身份、目标动物、用途、用量、标签、职业暴露和过渡期。胆碱氯化物更正还提示规格与检测项目的文本一致性风险。</w:t>
      </w:r>
    </w:p>
    <w:p>
      <w:pPr>
        <w:spacing w:after="60" w:line="276" w:lineRule="auto"/>
      </w:pPr>
      <w:r>
        <w:rPr>
          <w:rFonts w:ascii="Newsletter Sans SC" w:hAnsi="Newsletter Sans SC" w:eastAsia="Newsletter Sans SC" w:cs="Newsletter Sans SC"/>
          <w:b/>
          <w:sz w:val="20"/>
        </w:rPr>
        <w:t>本周建议：</w:t>
      </w:r>
      <w:r>
        <w:rPr>
          <w:rFonts w:ascii="Newsletter Sans SC" w:hAnsi="Newsletter Sans SC" w:eastAsia="Newsletter Sans SC" w:cs="Newsletter Sans SC"/>
          <w:b w:val="0"/>
          <w:sz w:val="20"/>
        </w:rPr>
        <w:t>按产品建立“科学意见—授权法规—附件条件—内部规格—标签/SDS”矩阵。对酶制剂核对活性与批次一致性；对氨基酸区分饲料和饮水用途；对微生物制剂、矿物和精油核对目标材料、最低水平、杂质与作业者防护。</w:t>
      </w:r>
    </w:p>
    <w:p>
      <w:pPr>
        <w:spacing w:after="100" w:line="264" w:lineRule="auto"/>
      </w:pPr>
      <w:r>
        <w:rPr>
          <w:rFonts w:ascii="Newsletter Sans SC" w:hAnsi="Newsletter Sans SC" w:eastAsia="Newsletter Sans SC" w:cs="Newsletter Sans SC"/>
          <w:b/>
          <w:sz w:val="18"/>
        </w:rPr>
        <w:t>来源：</w:t>
      </w:r>
      <w:r>
        <w:rPr>
          <w:color w:val="0563C1"/>
          <w:u w:val="single"/>
          <w:rFonts w:eastAsia="Newsletter Sans SC" w:ascii="Newsletter Sans SC" w:hAnsi="Newsletter Sans SC" w:cs="Newsletter Sans SC"/>
          <w:sz w:val="18"/>
        </w:rPr>
        <w:t>S7-S15 EFSA 与 EUR-Lex</w:t>
      </w:r>
    </w:p>
    <w:p>
      <w:pPr>
        <w:keepNext/>
        <w:spacing w:before="40" w:after="60" w:line="276" w:lineRule="auto"/>
      </w:pPr>
      <w:r>
        <w:rPr>
          <w:rFonts w:ascii="Newsletter Sans SC" w:hAnsi="Newsletter Sans SC" w:eastAsia="Newsletter Sans SC" w:cs="Newsletter Sans SC"/>
          <w:b/>
          <w:sz w:val="22"/>
        </w:rPr>
        <w:t>4. 欧盟非洲猪瘟分区更新：猪源原料审核需回到产地、日期与处理条件</w:t>
      </w:r>
    </w:p>
    <w:p>
      <w:pPr>
        <w:spacing w:after="60" w:line="276" w:lineRule="auto"/>
      </w:pPr>
      <w:r>
        <w:rPr>
          <w:rFonts w:ascii="Newsletter Sans SC" w:hAnsi="Newsletter Sans SC" w:eastAsia="Newsletter Sans SC" w:cs="Newsletter Sans SC"/>
          <w:b/>
          <w:sz w:val="20"/>
        </w:rPr>
        <w:t>日期依据：</w:t>
      </w:r>
      <w:r>
        <w:rPr>
          <w:rFonts w:ascii="Newsletter Sans SC" w:hAnsi="Newsletter Sans SC" w:eastAsia="Newsletter Sans SC" w:cs="Newsletter Sans SC"/>
          <w:b w:val="0"/>
          <w:sz w:val="20"/>
        </w:rPr>
        <w:t>（EU）2026/2094 于 2026-09-15 在欧盟《官方公报》发布。</w:t>
      </w:r>
    </w:p>
    <w:p>
      <w:pPr>
        <w:spacing w:after="60" w:line="276" w:lineRule="auto"/>
      </w:pPr>
      <w:r>
        <w:rPr>
          <w:rFonts w:ascii="Newsletter Sans SC" w:hAnsi="Newsletter Sans SC" w:eastAsia="Newsletter Sans SC" w:cs="Newsletter Sans SC"/>
          <w:b/>
          <w:sz w:val="20"/>
        </w:rPr>
        <w:t>发生了什么：</w:t>
      </w:r>
      <w:r>
        <w:rPr>
          <w:rFonts w:ascii="Newsletter Sans SC" w:hAnsi="Newsletter Sans SC" w:eastAsia="Newsletter Sans SC" w:cs="Newsletter Sans SC"/>
          <w:b w:val="0"/>
          <w:sz w:val="20"/>
        </w:rPr>
        <w:t>（EU）2026/2094 修订欧盟非洲猪瘟特殊控制措施附件中的限制区。该文件调整的是动态分区和相应控制，不应被解读为对所有猪源材料的一揽子禁令。</w:t>
      </w:r>
    </w:p>
    <w:p>
      <w:pPr>
        <w:spacing w:after="60" w:line="276" w:lineRule="auto"/>
      </w:pPr>
      <w:r>
        <w:rPr>
          <w:rFonts w:ascii="Newsletter Sans SC" w:hAnsi="Newsletter Sans SC" w:eastAsia="Newsletter Sans SC" w:cs="Newsletter Sans SC"/>
          <w:b/>
          <w:sz w:val="20"/>
        </w:rPr>
        <w:t>管理判断：</w:t>
      </w:r>
      <w:r>
        <w:rPr>
          <w:rFonts w:ascii="Newsletter Sans SC" w:hAnsi="Newsletter Sans SC" w:eastAsia="Newsletter Sans SC" w:cs="Newsletter Sans SC"/>
          <w:b w:val="0"/>
          <w:sz w:val="20"/>
        </w:rPr>
        <w:t>猪源原料和产品的适用性取决于生产地址在特定日期对应的分区、产品类别、加工处理和动物卫生证明。仅凭国家名称或供应商声明不足以支持放行。</w:t>
      </w:r>
    </w:p>
    <w:p>
      <w:pPr>
        <w:spacing w:after="60" w:line="276" w:lineRule="auto"/>
      </w:pPr>
      <w:r>
        <w:rPr>
          <w:rFonts w:ascii="Newsletter Sans SC" w:hAnsi="Newsletter Sans SC" w:eastAsia="Newsletter Sans SC" w:cs="Newsletter Sans SC"/>
          <w:b/>
          <w:sz w:val="20"/>
        </w:rPr>
        <w:t>本周建议：</w:t>
      </w:r>
      <w:r>
        <w:rPr>
          <w:rFonts w:ascii="Newsletter Sans SC" w:hAnsi="Newsletter Sans SC" w:eastAsia="Newsletter Sans SC" w:cs="Newsletter Sans SC"/>
          <w:b w:val="0"/>
          <w:sz w:val="20"/>
        </w:rPr>
        <w:t>更新猪源原料供应商地址与欧盟分区的映射，保留生产日期、热处理、批次和证书证据；对跨周在途批次按最新附件重新筛查，并记录规则版本。</w:t>
      </w:r>
    </w:p>
    <w:p>
      <w:pPr>
        <w:spacing w:after="100" w:line="264" w:lineRule="auto"/>
      </w:pPr>
      <w:r>
        <w:rPr>
          <w:rFonts w:ascii="Newsletter Sans SC" w:hAnsi="Newsletter Sans SC" w:eastAsia="Newsletter Sans SC" w:cs="Newsletter Sans SC"/>
          <w:b/>
          <w:sz w:val="18"/>
        </w:rPr>
        <w:t>来源：</w:t>
      </w:r>
      <w:r>
        <w:rPr>
          <w:color w:val="0563C1"/>
          <w:u w:val="single"/>
          <w:rFonts w:eastAsia="Newsletter Sans SC" w:ascii="Newsletter Sans SC" w:hAnsi="Newsletter Sans SC" w:cs="Newsletter Sans SC"/>
          <w:sz w:val="18"/>
        </w:rPr>
        <w:t>S15 EUR-Lex（EU）2026/2094</w:t>
      </w:r>
    </w:p>
    <w:p>
      <w:pPr>
        <w:keepNext/>
        <w:spacing w:before="60" w:after="80" w:line="276" w:lineRule="auto"/>
      </w:pPr>
      <w:r>
        <w:rPr>
          <w:rFonts w:ascii="Newsletter Sans SC" w:hAnsi="Newsletter Sans SC" w:eastAsia="Newsletter Sans SC" w:cs="Newsletter Sans SC"/>
          <w:b/>
          <w:sz w:val="30"/>
        </w:rPr>
        <w:t>五、中国市场补充观察</w:t>
      </w:r>
    </w:p>
    <w:p>
      <w:pPr>
        <w:spacing w:after="60" w:line="276" w:lineRule="auto"/>
      </w:pPr>
      <w:r>
        <w:rPr>
          <w:rFonts w:ascii="Newsletter Sans SC" w:hAnsi="Newsletter Sans SC" w:eastAsia="Newsletter Sans SC" w:cs="Newsletter Sans SC"/>
          <w:b/>
          <w:sz w:val="20"/>
        </w:rPr>
        <w:t>监管与官方监测：</w:t>
      </w:r>
      <w:r>
        <w:rPr>
          <w:rFonts w:ascii="Newsletter Sans SC" w:hAnsi="Newsletter Sans SC" w:eastAsia="Newsletter Sans SC" w:cs="Newsletter Sans SC"/>
          <w:b w:val="0"/>
          <w:sz w:val="20"/>
        </w:rPr>
        <w:t>农业农村部 9 月 16 日发布监测，豆粕均价 3.36 元/公斤，环比和同比均上涨 1.5%；育肥猪、肉鸡和蛋鸡配合饲料价格环比持平。该信号用于成本敏感性评估，不替代企业到厂价。</w:t>
      </w:r>
    </w:p>
    <w:p>
      <w:pPr>
        <w:spacing w:after="60" w:line="276" w:lineRule="auto"/>
      </w:pPr>
      <w:r>
        <w:rPr>
          <w:rFonts w:ascii="Newsletter Sans SC" w:hAnsi="Newsletter Sans SC" w:eastAsia="Newsletter Sans SC" w:cs="Newsletter Sans SC"/>
          <w:b/>
          <w:sz w:val="20"/>
        </w:rPr>
        <w:t>标准与技术规范：</w:t>
      </w:r>
      <w:r>
        <w:rPr>
          <w:rFonts w:ascii="Newsletter Sans SC" w:hAnsi="Newsletter Sans SC" w:eastAsia="Newsletter Sans SC" w:cs="Newsletter Sans SC"/>
          <w:b w:val="0"/>
          <w:sz w:val="20"/>
        </w:rPr>
        <w:t>国家标准、团体标准和科研机构路径均已核验，本期未发现具有新增状态且达到客户行动阈值的宠物食品或饲料标准/方法节点。</w:t>
      </w:r>
    </w:p>
    <w:p>
      <w:pPr>
        <w:spacing w:after="60" w:line="276" w:lineRule="auto"/>
      </w:pPr>
      <w:r>
        <w:rPr>
          <w:rFonts w:ascii="Newsletter Sans SC" w:hAnsi="Newsletter Sans SC" w:eastAsia="Newsletter Sans SC" w:cs="Newsletter Sans SC"/>
          <w:b/>
          <w:sz w:val="20"/>
        </w:rPr>
        <w:t>产能与竞争：</w:t>
      </w:r>
      <w:r>
        <w:rPr>
          <w:rFonts w:ascii="Newsletter Sans SC" w:hAnsi="Newsletter Sans SC" w:eastAsia="Newsletter Sans SC" w:cs="Newsletter Sans SC"/>
          <w:b w:val="0"/>
          <w:sz w:val="20"/>
        </w:rPr>
        <w:t>一条广西宠物食品产业园二手聚合信息声称高额投资，但未找到项目主体或主管部门的一手文件，未纳入客户判断。</w:t>
      </w:r>
    </w:p>
    <w:p>
      <w:pPr>
        <w:spacing w:after="60" w:line="276" w:lineRule="auto"/>
      </w:pPr>
      <w:r>
        <w:rPr>
          <w:rFonts w:ascii="Newsletter Sans SC" w:hAnsi="Newsletter Sans SC" w:eastAsia="Newsletter Sans SC" w:cs="Newsletter Sans SC"/>
          <w:b/>
          <w:sz w:val="20"/>
        </w:rPr>
        <w:t>产品与消费：</w:t>
      </w:r>
      <w:r>
        <w:rPr>
          <w:rFonts w:ascii="Newsletter Sans SC" w:hAnsi="Newsletter Sans SC" w:eastAsia="Newsletter Sans SC" w:cs="Newsletter Sans SC"/>
          <w:b w:val="0"/>
          <w:sz w:val="20"/>
        </w:rPr>
        <w:t>本期新品和行业媒体内容以趋势线索为主，缺少监管、企业数据或可靠销量证据交叉验证，不以单一报道外推市场份额。</w:t>
      </w:r>
    </w:p>
    <w:p>
      <w:pPr>
        <w:spacing w:after="60" w:line="276" w:lineRule="auto"/>
      </w:pPr>
      <w:r>
        <w:rPr>
          <w:rFonts w:ascii="Newsletter Sans SC" w:hAnsi="Newsletter Sans SC" w:eastAsia="Newsletter Sans SC" w:cs="Newsletter Sans SC"/>
          <w:b/>
          <w:sz w:val="20"/>
        </w:rPr>
        <w:t>高关注消费风险：</w:t>
      </w:r>
      <w:r>
        <w:rPr>
          <w:rFonts w:ascii="Newsletter Sans SC" w:hAnsi="Newsletter Sans SC" w:eastAsia="Newsletter Sans SC" w:cs="Newsletter Sans SC"/>
          <w:b w:val="0"/>
          <w:sz w:val="20"/>
        </w:rPr>
        <w:t>9 月 13 日有消费者称鲜朗猫粮出现钢丝，企业客服确认收到反馈并称正在核查；目前没有监管结论或完成的根因调查，产品归因与因果关系均未确认。建议仅作为异物控制核查触发器。</w:t>
      </w:r>
    </w:p>
    <w:p>
      <w:pPr>
        <w:keepNext/>
        <w:spacing w:before="60" w:after="80" w:line="276" w:lineRule="auto"/>
      </w:pPr>
      <w:r>
        <w:rPr>
          <w:rFonts w:ascii="Newsletter Sans SC" w:hAnsi="Newsletter Sans SC" w:eastAsia="Newsletter Sans SC" w:cs="Newsletter Sans SC"/>
          <w:b/>
          <w:sz w:val="30"/>
        </w:rPr>
        <w:t>六、本周建议启动的管理动作</w:t>
      </w:r>
    </w:p>
    <w:p>
      <w:pPr>
        <w:keepNext w:val="0"/>
        <w:spacing w:before="0" w:after="40" w:line="276" w:lineRule="auto"/>
      </w:pPr>
      <w:r>
        <w:rPr>
          <w:rFonts w:ascii="Newsletter Sans SC" w:hAnsi="Newsletter Sans SC" w:eastAsia="Newsletter Sans SC" w:cs="Newsletter Sans SC"/>
          <w:b w:val="0"/>
          <w:sz w:val="20"/>
        </w:rPr>
        <w:t>1. 对 RASFF 2026.8204 涉及的宠物食品优先完成批次隔离、客户/渠道追踪、Salmonella 与肠杆菌科复核及环境调查。</w:t>
      </w:r>
    </w:p>
    <w:p>
      <w:pPr>
        <w:keepNext w:val="0"/>
        <w:spacing w:before="0" w:after="40" w:line="276" w:lineRule="auto"/>
      </w:pPr>
      <w:r>
        <w:rPr>
          <w:rFonts w:ascii="Newsletter Sans SC" w:hAnsi="Newsletter Sans SC" w:eastAsia="Newsletter Sans SC" w:cs="Newsletter Sans SC"/>
          <w:b w:val="0"/>
          <w:sz w:val="20"/>
        </w:rPr>
        <w:t>2. 为白小米、油脂副产品、油籽粕和仔猪饲料分别设置豚草籽、二噁英、Salmonella 和硒的差异化持有放行规则。</w:t>
      </w:r>
    </w:p>
    <w:p>
      <w:pPr>
        <w:keepNext w:val="0"/>
        <w:spacing w:before="0" w:after="40" w:line="276" w:lineRule="auto"/>
      </w:pPr>
      <w:r>
        <w:rPr>
          <w:rFonts w:ascii="Newsletter Sans SC" w:hAnsi="Newsletter Sans SC" w:eastAsia="Newsletter Sans SC" w:cs="Newsletter Sans SC"/>
          <w:b w:val="0"/>
          <w:sz w:val="20"/>
        </w:rPr>
        <w:t>3. 对加拿大输加产品建立动物源成分—物种—处理地点—热处理—证书矩阵，并在 10 月 15 日前完成提案影响评估。</w:t>
      </w:r>
    </w:p>
    <w:p>
      <w:pPr>
        <w:keepNext w:val="0"/>
        <w:spacing w:before="0" w:after="40" w:line="276" w:lineRule="auto"/>
      </w:pPr>
      <w:r>
        <w:rPr>
          <w:rFonts w:ascii="Newsletter Sans SC" w:hAnsi="Newsletter Sans SC" w:eastAsia="Newsletter Sans SC" w:cs="Newsletter Sans SC"/>
          <w:b w:val="0"/>
          <w:sz w:val="20"/>
        </w:rPr>
        <w:t>4. 将 EFSA 科学意见、欧盟授权法规和 ASF 分区拆成三套清单，分别控制证据成熟度、使用条件和产地/日期/证书。</w:t>
      </w:r>
    </w:p>
    <w:p>
      <w:pPr>
        <w:keepNext w:val="0"/>
        <w:spacing w:before="0" w:after="40" w:line="276" w:lineRule="auto"/>
      </w:pPr>
      <w:r>
        <w:rPr>
          <w:rFonts w:ascii="Newsletter Sans SC" w:hAnsi="Newsletter Sans SC" w:eastAsia="Newsletter Sans SC" w:cs="Newsletter Sans SC"/>
          <w:b w:val="0"/>
          <w:sz w:val="20"/>
        </w:rPr>
        <w:t>5. 更新豆粕成本敏感性假设；对鲜朗投诉仅做异物留样、批次追溯、金属探测挑战和沟通记录核查，不预判原因。</w:t>
      </w:r>
    </w:p>
    <w:p>
      <w:r>
        <w:br w:type="page"/>
      </w:r>
    </w:p>
    <w:p>
      <w:pPr>
        <w:keepNext/>
        <w:spacing w:before="60" w:after="80" w:line="276" w:lineRule="auto"/>
      </w:pPr>
      <w:r>
        <w:rPr>
          <w:rFonts w:ascii="Newsletter Sans SC" w:hAnsi="Newsletter Sans SC" w:eastAsia="Newsletter Sans SC" w:cs="Newsletter Sans SC"/>
          <w:b/>
          <w:sz w:val="30"/>
        </w:rPr>
        <w:t>七、信息来源与使用说明</w:t>
      </w:r>
    </w:p>
    <w:tbl>
      <w:tblPr>
        <w:tblStyle w:val="afb"/>
        <w:tblW w:type="dxa" w:w="8957"/>
        <w:jc w:val="center"/>
        <w:tblLayout w:type="fixed"/>
        <w:tblLook w:firstColumn="1" w:firstRow="1" w:lastColumn="0" w:lastRow="0" w:noHBand="0" w:noVBand="1" w:val="04A0"/>
      </w:tblPr>
      <w:tblGrid>
        <w:gridCol w:w="1224"/>
        <w:gridCol w:w="4392"/>
        <w:gridCol w:w="1872"/>
        <w:gridCol w:w="1469"/>
      </w:tblGrid>
      <w:tr>
        <w:trPr>
          <w:tblHeader w:val="true"/>
          <w:cantSplit/>
        </w:trPr>
        <w:tc>
          <w:tcPr>
            <w:tcW w:type="dxa" w:w="1224"/>
            <w:vAlign w:val="center"/>
            <w:shd w:fill="7F7F7F"/>
            <w:tcMar>
              <w:top w:w="75" w:type="dxa"/>
              <w:start w:w="75" w:type="dxa"/>
              <w:bottom w:w="75" w:type="dxa"/>
              <w:end w:w="75" w:type="dxa"/>
            </w:tcMar>
          </w:tcPr>
          <w:p>
            <w:pPr>
              <w:spacing w:after="0" w:line="300" w:lineRule="exact"/>
              <w:jc w:val="center"/>
            </w:pPr>
            <w:r/>
            <w:r>
              <w:rPr>
                <w:rFonts w:ascii="Newsletter Sans SC" w:hAnsi="Newsletter Sans SC" w:eastAsia="Newsletter Sans SC" w:cs="Newsletter Sans SC"/>
                <w:b/>
                <w:color w:val="FFFFFF"/>
                <w:sz w:val="16"/>
              </w:rPr>
              <w:t>编号/日期</w:t>
            </w:r>
          </w:p>
        </w:tc>
        <w:tc>
          <w:tcPr>
            <w:tcW w:type="dxa" w:w="4392"/>
            <w:vAlign w:val="center"/>
            <w:shd w:fill="7F7F7F"/>
            <w:tcMar>
              <w:top w:w="75" w:type="dxa"/>
              <w:start w:w="75" w:type="dxa"/>
              <w:bottom w:w="75" w:type="dxa"/>
              <w:end w:w="75" w:type="dxa"/>
            </w:tcMar>
          </w:tcPr>
          <w:p>
            <w:pPr>
              <w:spacing w:after="0" w:line="300" w:lineRule="exact"/>
              <w:jc w:val="center"/>
            </w:pPr>
            <w:r/>
            <w:r>
              <w:rPr>
                <w:rFonts w:ascii="Newsletter Sans SC" w:hAnsi="Newsletter Sans SC" w:eastAsia="Newsletter Sans SC" w:cs="Newsletter Sans SC"/>
                <w:b/>
                <w:color w:val="FFFFFF"/>
                <w:sz w:val="16"/>
              </w:rPr>
              <w:t>来源与主题</w:t>
            </w:r>
          </w:p>
        </w:tc>
        <w:tc>
          <w:tcPr>
            <w:tcW w:type="dxa" w:w="1872"/>
            <w:vAlign w:val="center"/>
            <w:shd w:fill="7F7F7F"/>
            <w:tcMar>
              <w:top w:w="75" w:type="dxa"/>
              <w:start w:w="75" w:type="dxa"/>
              <w:bottom w:w="75" w:type="dxa"/>
              <w:end w:w="75" w:type="dxa"/>
            </w:tcMar>
          </w:tcPr>
          <w:p>
            <w:pPr>
              <w:spacing w:after="0" w:line="300" w:lineRule="exact"/>
              <w:jc w:val="center"/>
            </w:pPr>
            <w:r/>
            <w:r>
              <w:rPr>
                <w:rFonts w:ascii="Newsletter Sans SC" w:hAnsi="Newsletter Sans SC" w:eastAsia="Newsletter Sans SC" w:cs="Newsletter Sans SC"/>
                <w:b/>
                <w:color w:val="FFFFFF"/>
                <w:sz w:val="16"/>
              </w:rPr>
              <w:t>性质</w:t>
            </w:r>
          </w:p>
        </w:tc>
        <w:tc>
          <w:tcPr>
            <w:tcW w:type="dxa" w:w="1469"/>
            <w:vAlign w:val="center"/>
            <w:shd w:fill="7F7F7F"/>
            <w:tcMar>
              <w:top w:w="75" w:type="dxa"/>
              <w:start w:w="75" w:type="dxa"/>
              <w:bottom w:w="75" w:type="dxa"/>
              <w:end w:w="75" w:type="dxa"/>
            </w:tcMar>
          </w:tcPr>
          <w:p>
            <w:pPr>
              <w:spacing w:after="0" w:line="300" w:lineRule="exact"/>
              <w:jc w:val="center"/>
            </w:pPr>
            <w:r/>
            <w:r>
              <w:rPr>
                <w:rFonts w:ascii="Newsletter Sans SC" w:hAnsi="Newsletter Sans SC" w:eastAsia="Newsletter Sans SC" w:cs="Newsletter Sans SC"/>
                <w:b/>
                <w:color w:val="FFFFFF"/>
                <w:sz w:val="16"/>
              </w:rPr>
              <w:t>链接</w:t>
            </w:r>
          </w:p>
        </w:tc>
      </w:tr>
      <w:tr>
        <w:trPr>
          <w:cantSplit/>
        </w:trPr>
        <w:tc>
          <w:tcPr>
            <w:tcW w:type="dxa" w:w="1224"/>
            <w:vAlign w:val="center"/>
            <w:tcMar>
              <w:top w:w="75" w:type="dxa"/>
              <w:start w:w="75" w:type="dxa"/>
              <w:bottom w:w="75" w:type="dxa"/>
              <w:end w:w="75" w:type="dxa"/>
            </w:tcMar>
          </w:tcPr>
          <w:p>
            <w:pPr>
              <w:spacing w:after="0" w:line="300" w:lineRule="exact"/>
              <w:jc w:val="center"/>
            </w:pPr>
            <w:r>
              <w:t>S1</w:t>
            </w:r>
            <w:r>
              <w:br/>
              <w:t>2026-09-16</w:t>
            </w:r>
          </w:p>
        </w:tc>
        <w:tc>
          <w:tcPr>
            <w:tcW w:type="dxa" w:w="4392"/>
            <w:vAlign w:val="center"/>
            <w:tcMar>
              <w:top w:w="75" w:type="dxa"/>
              <w:start w:w="75" w:type="dxa"/>
              <w:bottom w:w="75" w:type="dxa"/>
              <w:end w:w="75" w:type="dxa"/>
            </w:tcMar>
          </w:tcPr>
          <w:p>
            <w:pPr>
              <w:spacing w:after="0" w:line="300" w:lineRule="exact"/>
            </w:pPr>
            <w:r>
              <w:t>RASFF 2026.8204</w:t>
            </w:r>
            <w:r>
              <w:br/>
              <w:t>克罗地亚宠物食品 Salmonella 与肠杆菌科警报</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4">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S2</w:t>
            </w:r>
            <w:r>
              <w:br/>
              <w:t>2026-09-16</w:t>
            </w:r>
          </w:p>
        </w:tc>
        <w:tc>
          <w:tcPr>
            <w:tcW w:type="dxa" w:w="4392"/>
            <w:vAlign w:val="center"/>
            <w:shd w:fill="F2F2F2"/>
            <w:tcMar>
              <w:top w:w="75" w:type="dxa"/>
              <w:start w:w="75" w:type="dxa"/>
              <w:bottom w:w="75" w:type="dxa"/>
              <w:end w:w="75" w:type="dxa"/>
            </w:tcMar>
          </w:tcPr>
          <w:p>
            <w:pPr>
              <w:spacing w:after="0" w:line="300" w:lineRule="exact"/>
            </w:pPr>
            <w:r>
              <w:t>RASFF 2026.8197</w:t>
            </w:r>
            <w:r>
              <w:br/>
              <w:t>比利时来源仔猪饲料硒含量过高</w:t>
            </w:r>
          </w:p>
        </w:tc>
        <w:tc>
          <w:tcPr>
            <w:tcW w:type="dxa" w:w="1872"/>
            <w:vAlign w:val="center"/>
            <w:shd w:fill="F2F2F2"/>
            <w:tcMar>
              <w:top w:w="75" w:type="dxa"/>
              <w:start w:w="75" w:type="dxa"/>
              <w:bottom w:w="75" w:type="dxa"/>
              <w:end w:w="75" w:type="dxa"/>
            </w:tcMar>
          </w:tcPr>
          <w:p>
            <w:pPr>
              <w:spacing w:after="0" w:line="300" w:lineRule="exact"/>
            </w:pPr>
            <w:r>
              <w:t>欧盟官方通报</w:t>
            </w:r>
          </w:p>
        </w:tc>
        <w:tc>
          <w:tcPr>
            <w:tcW w:type="dxa" w:w="1469"/>
            <w:vAlign w:val="center"/>
            <w:shd w:fill="F2F2F2"/>
            <w:tcMar>
              <w:top w:w="75" w:type="dxa"/>
              <w:start w:w="75" w:type="dxa"/>
              <w:bottom w:w="75" w:type="dxa"/>
              <w:end w:w="75" w:type="dxa"/>
            </w:tcMar>
          </w:tcPr>
          <w:p>
            <w:pPr>
              <w:spacing w:after="0" w:line="300" w:lineRule="exact"/>
              <w:jc w:val="center"/>
            </w:pPr>
            <w:r/>
            <w:hyperlink r:id="rId25">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S3</w:t>
            </w:r>
            <w:r>
              <w:br/>
              <w:t>2026-09-17</w:t>
            </w:r>
          </w:p>
        </w:tc>
        <w:tc>
          <w:tcPr>
            <w:tcW w:type="dxa" w:w="4392"/>
            <w:vAlign w:val="center"/>
            <w:tcMar>
              <w:top w:w="75" w:type="dxa"/>
              <w:start w:w="75" w:type="dxa"/>
              <w:bottom w:w="75" w:type="dxa"/>
              <w:end w:w="75" w:type="dxa"/>
            </w:tcMar>
          </w:tcPr>
          <w:p>
            <w:pPr>
              <w:spacing w:after="0" w:line="300" w:lineRule="exact"/>
            </w:pPr>
            <w:r>
              <w:t>RASFF 2026.8238</w:t>
            </w:r>
            <w:r>
              <w:br/>
              <w:t>法国白小米豚草籽超过限值</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6">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S4</w:t>
            </w:r>
            <w:r>
              <w:br/>
              <w:t>2026-09-14</w:t>
            </w:r>
          </w:p>
        </w:tc>
        <w:tc>
          <w:tcPr>
            <w:tcW w:type="dxa" w:w="4392"/>
            <w:vAlign w:val="center"/>
            <w:shd w:fill="F2F2F2"/>
            <w:tcMar>
              <w:top w:w="75" w:type="dxa"/>
              <w:start w:w="75" w:type="dxa"/>
              <w:bottom w:w="75" w:type="dxa"/>
              <w:end w:w="75" w:type="dxa"/>
            </w:tcMar>
          </w:tcPr>
          <w:p>
            <w:pPr>
              <w:spacing w:after="0" w:line="300" w:lineRule="exact"/>
            </w:pPr>
            <w:r>
              <w:t>RASFF 2026.8120</w:t>
            </w:r>
            <w:r>
              <w:br/>
              <w:t>马来西亚棕榈脂肪酸馏出物二噁英</w:t>
            </w:r>
          </w:p>
        </w:tc>
        <w:tc>
          <w:tcPr>
            <w:tcW w:type="dxa" w:w="1872"/>
            <w:vAlign w:val="center"/>
            <w:shd w:fill="F2F2F2"/>
            <w:tcMar>
              <w:top w:w="75" w:type="dxa"/>
              <w:start w:w="75" w:type="dxa"/>
              <w:bottom w:w="75" w:type="dxa"/>
              <w:end w:w="75" w:type="dxa"/>
            </w:tcMar>
          </w:tcPr>
          <w:p>
            <w:pPr>
              <w:spacing w:after="0" w:line="300" w:lineRule="exact"/>
            </w:pPr>
            <w:r>
              <w:t>欧盟官方通报</w:t>
            </w:r>
          </w:p>
        </w:tc>
        <w:tc>
          <w:tcPr>
            <w:tcW w:type="dxa" w:w="1469"/>
            <w:vAlign w:val="center"/>
            <w:shd w:fill="F2F2F2"/>
            <w:tcMar>
              <w:top w:w="75" w:type="dxa"/>
              <w:start w:w="75" w:type="dxa"/>
              <w:bottom w:w="75" w:type="dxa"/>
              <w:end w:w="75" w:type="dxa"/>
            </w:tcMar>
          </w:tcPr>
          <w:p>
            <w:pPr>
              <w:spacing w:after="0" w:line="300" w:lineRule="exact"/>
              <w:jc w:val="center"/>
            </w:pPr>
            <w:r/>
            <w:hyperlink r:id="rId27">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S5</w:t>
            </w:r>
            <w:r>
              <w:br/>
              <w:t>2026-09-15</w:t>
            </w:r>
          </w:p>
        </w:tc>
        <w:tc>
          <w:tcPr>
            <w:tcW w:type="dxa" w:w="4392"/>
            <w:vAlign w:val="center"/>
            <w:tcMar>
              <w:top w:w="75" w:type="dxa"/>
              <w:start w:w="75" w:type="dxa"/>
              <w:bottom w:w="75" w:type="dxa"/>
              <w:end w:w="75" w:type="dxa"/>
            </w:tcMar>
          </w:tcPr>
          <w:p>
            <w:pPr>
              <w:spacing w:after="0" w:line="300" w:lineRule="exact"/>
            </w:pPr>
            <w:r>
              <w:t>RASFF 2026.8148</w:t>
            </w:r>
            <w:r>
              <w:br/>
              <w:t>捷克菜籽粕 Salmonella</w:t>
            </w:r>
          </w:p>
        </w:tc>
        <w:tc>
          <w:tcPr>
            <w:tcW w:type="dxa" w:w="1872"/>
            <w:vAlign w:val="center"/>
            <w:tcMar>
              <w:top w:w="75" w:type="dxa"/>
              <w:start w:w="75" w:type="dxa"/>
              <w:bottom w:w="75" w:type="dxa"/>
              <w:end w:w="75" w:type="dxa"/>
            </w:tcMar>
          </w:tcPr>
          <w:p>
            <w:pPr>
              <w:spacing w:after="0" w:line="300" w:lineRule="exact"/>
            </w:pPr>
            <w:r>
              <w:t>欧盟官方通报</w:t>
            </w:r>
          </w:p>
        </w:tc>
        <w:tc>
          <w:tcPr>
            <w:tcW w:type="dxa" w:w="1469"/>
            <w:vAlign w:val="center"/>
            <w:tcMar>
              <w:top w:w="75" w:type="dxa"/>
              <w:start w:w="75" w:type="dxa"/>
              <w:bottom w:w="75" w:type="dxa"/>
              <w:end w:w="75" w:type="dxa"/>
            </w:tcMar>
          </w:tcPr>
          <w:p>
            <w:pPr>
              <w:spacing w:after="0" w:line="300" w:lineRule="exact"/>
              <w:jc w:val="center"/>
            </w:pPr>
            <w:r/>
            <w:hyperlink r:id="rId28">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S6</w:t>
            </w:r>
            <w:r>
              <w:br/>
              <w:t>2026-09-15</w:t>
            </w:r>
          </w:p>
        </w:tc>
        <w:tc>
          <w:tcPr>
            <w:tcW w:type="dxa" w:w="4392"/>
            <w:vAlign w:val="center"/>
            <w:shd w:fill="F2F2F2"/>
            <w:tcMar>
              <w:top w:w="75" w:type="dxa"/>
              <w:start w:w="75" w:type="dxa"/>
              <w:bottom w:w="75" w:type="dxa"/>
              <w:end w:w="75" w:type="dxa"/>
            </w:tcMar>
          </w:tcPr>
          <w:p>
            <w:pPr>
              <w:spacing w:after="0" w:line="300" w:lineRule="exact"/>
            </w:pPr>
            <w:r>
              <w:t>加拿大食品检验局</w:t>
            </w:r>
            <w:r>
              <w:br/>
              <w:t>美国热处理宠物食品进口条件提案</w:t>
            </w:r>
          </w:p>
        </w:tc>
        <w:tc>
          <w:tcPr>
            <w:tcW w:type="dxa" w:w="1872"/>
            <w:vAlign w:val="center"/>
            <w:shd w:fill="F2F2F2"/>
            <w:tcMar>
              <w:top w:w="75" w:type="dxa"/>
              <w:start w:w="75" w:type="dxa"/>
              <w:bottom w:w="75" w:type="dxa"/>
              <w:end w:w="75" w:type="dxa"/>
            </w:tcMar>
          </w:tcPr>
          <w:p>
            <w:pPr>
              <w:spacing w:after="0" w:line="300" w:lineRule="exact"/>
            </w:pPr>
            <w:r>
              <w:t>加拿大官方提案</w:t>
            </w:r>
          </w:p>
        </w:tc>
        <w:tc>
          <w:tcPr>
            <w:tcW w:type="dxa" w:w="1469"/>
            <w:vAlign w:val="center"/>
            <w:shd w:fill="F2F2F2"/>
            <w:tcMar>
              <w:top w:w="75" w:type="dxa"/>
              <w:start w:w="75" w:type="dxa"/>
              <w:bottom w:w="75" w:type="dxa"/>
              <w:end w:w="75" w:type="dxa"/>
            </w:tcMar>
          </w:tcPr>
          <w:p>
            <w:pPr>
              <w:spacing w:after="0" w:line="300" w:lineRule="exact"/>
              <w:jc w:val="center"/>
            </w:pPr>
            <w:r/>
            <w:hyperlink r:id="rId29">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S7</w:t>
            </w:r>
            <w:r>
              <w:br/>
              <w:t>2026-09-16</w:t>
            </w:r>
          </w:p>
        </w:tc>
        <w:tc>
          <w:tcPr>
            <w:tcW w:type="dxa" w:w="4392"/>
            <w:vAlign w:val="center"/>
            <w:tcMar>
              <w:top w:w="75" w:type="dxa"/>
              <w:start w:w="75" w:type="dxa"/>
              <w:bottom w:w="75" w:type="dxa"/>
              <w:end w:w="75" w:type="dxa"/>
            </w:tcMar>
          </w:tcPr>
          <w:p>
            <w:pPr>
              <w:spacing w:after="0" w:line="300" w:lineRule="exact"/>
            </w:pPr>
            <w:r>
              <w:t>EFSA Journal 2026;24:10307</w:t>
            </w:r>
            <w:r>
              <w:br/>
              <w:t>伏马菌素酯酶用于所有陆生动物</w:t>
            </w:r>
          </w:p>
        </w:tc>
        <w:tc>
          <w:tcPr>
            <w:tcW w:type="dxa" w:w="1872"/>
            <w:vAlign w:val="center"/>
            <w:tcMar>
              <w:top w:w="75" w:type="dxa"/>
              <w:start w:w="75" w:type="dxa"/>
              <w:bottom w:w="75" w:type="dxa"/>
              <w:end w:w="75" w:type="dxa"/>
            </w:tcMar>
          </w:tcPr>
          <w:p>
            <w:pPr>
              <w:spacing w:after="0" w:line="300" w:lineRule="exact"/>
            </w:pPr>
            <w:r>
              <w:t>科学机构意见</w:t>
            </w:r>
          </w:p>
        </w:tc>
        <w:tc>
          <w:tcPr>
            <w:tcW w:type="dxa" w:w="1469"/>
            <w:vAlign w:val="center"/>
            <w:tcMar>
              <w:top w:w="75" w:type="dxa"/>
              <w:start w:w="75" w:type="dxa"/>
              <w:bottom w:w="75" w:type="dxa"/>
              <w:end w:w="75" w:type="dxa"/>
            </w:tcMar>
          </w:tcPr>
          <w:p>
            <w:pPr>
              <w:spacing w:after="0" w:line="300" w:lineRule="exact"/>
              <w:jc w:val="center"/>
            </w:pPr>
            <w:r/>
            <w:hyperlink r:id="rId30">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S8</w:t>
            </w:r>
            <w:r>
              <w:br/>
              <w:t>2026-09-14</w:t>
            </w:r>
          </w:p>
        </w:tc>
        <w:tc>
          <w:tcPr>
            <w:tcW w:type="dxa" w:w="4392"/>
            <w:vAlign w:val="center"/>
            <w:tcMar>
              <w:top w:w="75" w:type="dxa"/>
              <w:start w:w="75" w:type="dxa"/>
              <w:bottom w:w="75" w:type="dxa"/>
              <w:end w:w="75" w:type="dxa"/>
            </w:tcMar>
          </w:tcPr>
          <w:p>
            <w:pPr>
              <w:spacing w:after="0" w:line="300" w:lineRule="exact"/>
            </w:pPr>
            <w:r>
              <w:t>EFSA Journal 2026;24:10293</w:t>
            </w:r>
            <w:r>
              <w:br/>
              <w:t>两种发酵法 L-异亮氨酸</w:t>
            </w:r>
          </w:p>
        </w:tc>
        <w:tc>
          <w:tcPr>
            <w:tcW w:type="dxa" w:w="1872"/>
            <w:vAlign w:val="center"/>
            <w:tcMar>
              <w:top w:w="75" w:type="dxa"/>
              <w:start w:w="75" w:type="dxa"/>
              <w:bottom w:w="75" w:type="dxa"/>
              <w:end w:w="75" w:type="dxa"/>
            </w:tcMar>
          </w:tcPr>
          <w:p>
            <w:pPr>
              <w:spacing w:after="0" w:line="300" w:lineRule="exact"/>
            </w:pPr>
            <w:r>
              <w:t>科学机构意见</w:t>
            </w:r>
          </w:p>
        </w:tc>
        <w:tc>
          <w:tcPr>
            <w:tcW w:type="dxa" w:w="1469"/>
            <w:vAlign w:val="center"/>
            <w:tcMar>
              <w:top w:w="75" w:type="dxa"/>
              <w:start w:w="75" w:type="dxa"/>
              <w:bottom w:w="75" w:type="dxa"/>
              <w:end w:w="75" w:type="dxa"/>
            </w:tcMar>
          </w:tcPr>
          <w:p>
            <w:pPr>
              <w:spacing w:after="0" w:line="300" w:lineRule="exact"/>
              <w:jc w:val="center"/>
            </w:pPr>
            <w:r/>
            <w:hyperlink r:id="rId8">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S9</w:t>
            </w:r>
            <w:r>
              <w:br/>
              <w:t>2026-09-14</w:t>
            </w:r>
          </w:p>
        </w:tc>
        <w:tc>
          <w:tcPr>
            <w:tcW w:type="dxa" w:w="4392"/>
            <w:vAlign w:val="center"/>
            <w:shd w:fill="F2F2F2"/>
            <w:tcMar>
              <w:top w:w="75" w:type="dxa"/>
              <w:start w:w="75" w:type="dxa"/>
              <w:bottom w:w="75" w:type="dxa"/>
              <w:end w:w="75" w:type="dxa"/>
            </w:tcMar>
          </w:tcPr>
          <w:p>
            <w:pPr>
              <w:spacing w:after="0" w:line="300" w:lineRule="exact"/>
            </w:pPr>
            <w:r>
              <w:t>EFSA Journal 2026;24:10294</w:t>
            </w:r>
            <w:r>
              <w:br/>
              <w:t>发酵法 L-苏氨酸</w:t>
            </w:r>
          </w:p>
        </w:tc>
        <w:tc>
          <w:tcPr>
            <w:tcW w:type="dxa" w:w="1872"/>
            <w:vAlign w:val="center"/>
            <w:shd w:fill="F2F2F2"/>
            <w:tcMar>
              <w:top w:w="75" w:type="dxa"/>
              <w:start w:w="75" w:type="dxa"/>
              <w:bottom w:w="75" w:type="dxa"/>
              <w:end w:w="75" w:type="dxa"/>
            </w:tcMar>
          </w:tcPr>
          <w:p>
            <w:pPr>
              <w:spacing w:after="0" w:line="300" w:lineRule="exact"/>
            </w:pPr>
            <w:r>
              <w:t>科学机构意见</w:t>
            </w:r>
          </w:p>
        </w:tc>
        <w:tc>
          <w:tcPr>
            <w:tcW w:type="dxa" w:w="1469"/>
            <w:vAlign w:val="center"/>
            <w:shd w:fill="F2F2F2"/>
            <w:tcMar>
              <w:top w:w="75" w:type="dxa"/>
              <w:start w:w="75" w:type="dxa"/>
              <w:bottom w:w="75" w:type="dxa"/>
              <w:end w:w="75" w:type="dxa"/>
            </w:tcMar>
          </w:tcPr>
          <w:p>
            <w:pPr>
              <w:spacing w:after="0" w:line="300" w:lineRule="exact"/>
              <w:jc w:val="center"/>
            </w:pPr>
            <w:r/>
            <w:hyperlink r:id="rId9">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S10</w:t>
            </w:r>
            <w:r>
              <w:br/>
              <w:t>2026-09-18</w:t>
            </w:r>
          </w:p>
        </w:tc>
        <w:tc>
          <w:tcPr>
            <w:tcW w:type="dxa" w:w="4392"/>
            <w:vAlign w:val="center"/>
            <w:tcMar>
              <w:top w:w="75" w:type="dxa"/>
              <w:start w:w="75" w:type="dxa"/>
              <w:bottom w:w="75" w:type="dxa"/>
              <w:end w:w="75" w:type="dxa"/>
            </w:tcMar>
          </w:tcPr>
          <w:p>
            <w:pPr>
              <w:spacing w:after="0" w:line="300" w:lineRule="exact"/>
            </w:pPr>
            <w:r>
              <w:t>EUR-Lex（EU）2026/2061</w:t>
            </w:r>
            <w:r>
              <w:br/>
              <w:t>Interban 复配制剂授权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0">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S11</w:t>
            </w:r>
            <w:r>
              <w:br/>
              <w:t>2026-09-18</w:t>
            </w:r>
          </w:p>
        </w:tc>
        <w:tc>
          <w:tcPr>
            <w:tcW w:type="dxa" w:w="4392"/>
            <w:vAlign w:val="center"/>
            <w:shd w:fill="F2F2F2"/>
            <w:tcMar>
              <w:top w:w="75" w:type="dxa"/>
              <w:start w:w="75" w:type="dxa"/>
              <w:bottom w:w="75" w:type="dxa"/>
              <w:end w:w="75" w:type="dxa"/>
            </w:tcMar>
          </w:tcPr>
          <w:p>
            <w:pPr>
              <w:spacing w:after="0" w:line="300" w:lineRule="exact"/>
            </w:pPr>
            <w:r>
              <w:t>EUR-Lex（EU）2026/2070</w:t>
            </w:r>
            <w:r>
              <w:br/>
              <w:t>胆碱氯化物中 2-氯乙醇表述更正</w:t>
            </w:r>
          </w:p>
        </w:tc>
        <w:tc>
          <w:tcPr>
            <w:tcW w:type="dxa" w:w="1872"/>
            <w:vAlign w:val="center"/>
            <w:shd w:fill="F2F2F2"/>
            <w:tcMar>
              <w:top w:w="75" w:type="dxa"/>
              <w:start w:w="75" w:type="dxa"/>
              <w:bottom w:w="75" w:type="dxa"/>
              <w:end w:w="75" w:type="dxa"/>
            </w:tcMar>
          </w:tcPr>
          <w:p>
            <w:pPr>
              <w:spacing w:after="0" w:line="300" w:lineRule="exact"/>
            </w:pPr>
            <w:r>
              <w:t>欧盟官方法规</w:t>
            </w:r>
          </w:p>
        </w:tc>
        <w:tc>
          <w:tcPr>
            <w:tcW w:type="dxa" w:w="1469"/>
            <w:vAlign w:val="center"/>
            <w:shd w:fill="F2F2F2"/>
            <w:tcMar>
              <w:top w:w="75" w:type="dxa"/>
              <w:start w:w="75" w:type="dxa"/>
              <w:bottom w:w="75" w:type="dxa"/>
              <w:end w:w="75" w:type="dxa"/>
            </w:tcMar>
          </w:tcPr>
          <w:p>
            <w:pPr>
              <w:spacing w:after="0" w:line="300" w:lineRule="exact"/>
              <w:jc w:val="center"/>
            </w:pPr>
            <w:r/>
            <w:hyperlink r:id="rId11">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S12</w:t>
            </w:r>
            <w:r>
              <w:br/>
              <w:t>2026-09-18</w:t>
            </w:r>
          </w:p>
        </w:tc>
        <w:tc>
          <w:tcPr>
            <w:tcW w:type="dxa" w:w="4392"/>
            <w:vAlign w:val="center"/>
            <w:tcMar>
              <w:top w:w="75" w:type="dxa"/>
              <w:start w:w="75" w:type="dxa"/>
              <w:bottom w:w="75" w:type="dxa"/>
              <w:end w:w="75" w:type="dxa"/>
            </w:tcMar>
          </w:tcPr>
          <w:p>
            <w:pPr>
              <w:spacing w:after="0" w:line="300" w:lineRule="exact"/>
            </w:pPr>
            <w:r>
              <w:t>EUR-Lex（EU）2026/2072</w:t>
            </w:r>
            <w:r>
              <w:br/>
              <w:t>珍珠岩抗结块剂授权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2">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S13</w:t>
            </w:r>
            <w:r>
              <w:br/>
              <w:t>2026-09-18</w:t>
            </w:r>
          </w:p>
        </w:tc>
        <w:tc>
          <w:tcPr>
            <w:tcW w:type="dxa" w:w="4392"/>
            <w:vAlign w:val="center"/>
            <w:shd w:fill="F2F2F2"/>
            <w:tcMar>
              <w:top w:w="75" w:type="dxa"/>
              <w:start w:w="75" w:type="dxa"/>
              <w:bottom w:w="75" w:type="dxa"/>
              <w:end w:w="75" w:type="dxa"/>
            </w:tcMar>
          </w:tcPr>
          <w:p>
            <w:pPr>
              <w:spacing w:after="0" w:line="300" w:lineRule="exact"/>
            </w:pPr>
            <w:r>
              <w:t>EUR-Lex（EU）2026/2074</w:t>
            </w:r>
            <w:r>
              <w:br/>
              <w:t>两菌制剂用于高水分植物性饲料原料</w:t>
            </w:r>
          </w:p>
        </w:tc>
        <w:tc>
          <w:tcPr>
            <w:tcW w:type="dxa" w:w="1872"/>
            <w:vAlign w:val="center"/>
            <w:shd w:fill="F2F2F2"/>
            <w:tcMar>
              <w:top w:w="75" w:type="dxa"/>
              <w:start w:w="75" w:type="dxa"/>
              <w:bottom w:w="75" w:type="dxa"/>
              <w:end w:w="75" w:type="dxa"/>
            </w:tcMar>
          </w:tcPr>
          <w:p>
            <w:pPr>
              <w:spacing w:after="0" w:line="300" w:lineRule="exact"/>
            </w:pPr>
            <w:r>
              <w:t>欧盟官方法规</w:t>
            </w:r>
          </w:p>
        </w:tc>
        <w:tc>
          <w:tcPr>
            <w:tcW w:type="dxa" w:w="1469"/>
            <w:vAlign w:val="center"/>
            <w:shd w:fill="F2F2F2"/>
            <w:tcMar>
              <w:top w:w="75" w:type="dxa"/>
              <w:start w:w="75" w:type="dxa"/>
              <w:bottom w:w="75" w:type="dxa"/>
              <w:end w:w="75" w:type="dxa"/>
            </w:tcMar>
          </w:tcPr>
          <w:p>
            <w:pPr>
              <w:spacing w:after="0" w:line="300" w:lineRule="exact"/>
              <w:jc w:val="center"/>
            </w:pPr>
            <w:r/>
            <w:hyperlink r:id="rId13">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S14</w:t>
            </w:r>
            <w:r>
              <w:br/>
              <w:t>2026-09-18</w:t>
            </w:r>
          </w:p>
        </w:tc>
        <w:tc>
          <w:tcPr>
            <w:tcW w:type="dxa" w:w="4392"/>
            <w:vAlign w:val="center"/>
            <w:tcMar>
              <w:top w:w="75" w:type="dxa"/>
              <w:start w:w="75" w:type="dxa"/>
              <w:bottom w:w="75" w:type="dxa"/>
              <w:end w:w="75" w:type="dxa"/>
            </w:tcMar>
          </w:tcPr>
          <w:p>
            <w:pPr>
              <w:spacing w:after="0" w:line="300" w:lineRule="exact"/>
            </w:pPr>
            <w:r>
              <w:t>EUR-Lex（EU）2026/2076</w:t>
            </w:r>
            <w:r>
              <w:br/>
              <w:t>肉豆蔻精油授权</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4">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S15</w:t>
            </w:r>
            <w:r>
              <w:br/>
              <w:t>2026-09-15</w:t>
            </w:r>
          </w:p>
        </w:tc>
        <w:tc>
          <w:tcPr>
            <w:tcW w:type="dxa" w:w="4392"/>
            <w:vAlign w:val="center"/>
            <w:tcMar>
              <w:top w:w="75" w:type="dxa"/>
              <w:start w:w="75" w:type="dxa"/>
              <w:bottom w:w="75" w:type="dxa"/>
              <w:end w:w="75" w:type="dxa"/>
            </w:tcMar>
          </w:tcPr>
          <w:p>
            <w:pPr>
              <w:spacing w:after="0" w:line="300" w:lineRule="exact"/>
            </w:pPr>
            <w:r>
              <w:t>EUR-Lex（EU）2026/2094</w:t>
            </w:r>
            <w:r>
              <w:br/>
              <w:t>非洲猪瘟特殊控制分区更新</w:t>
            </w:r>
          </w:p>
        </w:tc>
        <w:tc>
          <w:tcPr>
            <w:tcW w:type="dxa" w:w="1872"/>
            <w:vAlign w:val="center"/>
            <w:tcMar>
              <w:top w:w="75" w:type="dxa"/>
              <w:start w:w="75" w:type="dxa"/>
              <w:bottom w:w="75" w:type="dxa"/>
              <w:end w:w="75" w:type="dxa"/>
            </w:tcMar>
          </w:tcPr>
          <w:p>
            <w:pPr>
              <w:spacing w:after="0" w:line="300" w:lineRule="exact"/>
            </w:pPr>
            <w:r>
              <w:t>欧盟官方法规</w:t>
            </w:r>
          </w:p>
        </w:tc>
        <w:tc>
          <w:tcPr>
            <w:tcW w:type="dxa" w:w="1469"/>
            <w:vAlign w:val="center"/>
            <w:tcMar>
              <w:top w:w="75" w:type="dxa"/>
              <w:start w:w="75" w:type="dxa"/>
              <w:bottom w:w="75" w:type="dxa"/>
              <w:end w:w="75" w:type="dxa"/>
            </w:tcMar>
          </w:tcPr>
          <w:p>
            <w:pPr>
              <w:spacing w:after="0" w:line="300" w:lineRule="exact"/>
              <w:jc w:val="center"/>
            </w:pPr>
            <w:r/>
            <w:hyperlink r:id="rId15">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shd w:fill="F2F2F2"/>
            <w:tcMar>
              <w:top w:w="75" w:type="dxa"/>
              <w:start w:w="75" w:type="dxa"/>
              <w:bottom w:w="75" w:type="dxa"/>
              <w:end w:w="75" w:type="dxa"/>
            </w:tcMar>
          </w:tcPr>
          <w:p>
            <w:pPr>
              <w:spacing w:after="0" w:line="300" w:lineRule="exact"/>
              <w:jc w:val="center"/>
            </w:pPr>
            <w:r>
              <w:t>S16</w:t>
            </w:r>
            <w:r>
              <w:br/>
              <w:t>2026-09-16</w:t>
            </w:r>
          </w:p>
        </w:tc>
        <w:tc>
          <w:tcPr>
            <w:tcW w:type="dxa" w:w="4392"/>
            <w:vAlign w:val="center"/>
            <w:shd w:fill="F2F2F2"/>
            <w:tcMar>
              <w:top w:w="75" w:type="dxa"/>
              <w:start w:w="75" w:type="dxa"/>
              <w:bottom w:w="75" w:type="dxa"/>
              <w:end w:w="75" w:type="dxa"/>
            </w:tcMar>
          </w:tcPr>
          <w:p>
            <w:pPr>
              <w:spacing w:after="0" w:line="300" w:lineRule="exact"/>
            </w:pPr>
            <w:r>
              <w:t>农业农村部畜牧兽医局</w:t>
            </w:r>
            <w:r>
              <w:br/>
              <w:t>9 月第 2 周畜产品和饲料集贸市场价格</w:t>
            </w:r>
          </w:p>
        </w:tc>
        <w:tc>
          <w:tcPr>
            <w:tcW w:type="dxa" w:w="1872"/>
            <w:vAlign w:val="center"/>
            <w:shd w:fill="F2F2F2"/>
            <w:tcMar>
              <w:top w:w="75" w:type="dxa"/>
              <w:start w:w="75" w:type="dxa"/>
              <w:bottom w:w="75" w:type="dxa"/>
              <w:end w:w="75" w:type="dxa"/>
            </w:tcMar>
          </w:tcPr>
          <w:p>
            <w:pPr>
              <w:spacing w:after="0" w:line="300" w:lineRule="exact"/>
            </w:pPr>
            <w:r>
              <w:t>中国官方监测</w:t>
            </w:r>
          </w:p>
        </w:tc>
        <w:tc>
          <w:tcPr>
            <w:tcW w:type="dxa" w:w="1469"/>
            <w:vAlign w:val="center"/>
            <w:shd w:fill="F2F2F2"/>
            <w:tcMar>
              <w:top w:w="75" w:type="dxa"/>
              <w:start w:w="75" w:type="dxa"/>
              <w:bottom w:w="75" w:type="dxa"/>
              <w:end w:w="75" w:type="dxa"/>
            </w:tcMar>
          </w:tcPr>
          <w:p>
            <w:pPr>
              <w:spacing w:after="0" w:line="300" w:lineRule="exact"/>
              <w:jc w:val="center"/>
            </w:pPr>
            <w:r/>
            <w:hyperlink r:id="rId16">
              <w:r>
                <w:rPr>
                  <w:color w:val="0563C1"/>
                  <w:u w:val="single"/>
                  <w:rFonts w:eastAsia="Newsletter Sans SC" w:ascii="Newsletter Sans SC" w:hAnsi="Newsletter Sans SC" w:cs="Newsletter Sans SC"/>
                  <w:sz w:val="15"/>
                </w:rPr>
                <w:t>打开来源</w:t>
              </w:r>
            </w:hyperlink>
          </w:p>
        </w:tc>
      </w:tr>
      <w:tr>
        <w:trPr>
          <w:cantSplit/>
        </w:trPr>
        <w:tc>
          <w:tcPr>
            <w:tcW w:type="dxa" w:w="1224"/>
            <w:vAlign w:val="center"/>
            <w:tcMar>
              <w:top w:w="75" w:type="dxa"/>
              <w:start w:w="75" w:type="dxa"/>
              <w:bottom w:w="75" w:type="dxa"/>
              <w:end w:w="75" w:type="dxa"/>
            </w:tcMar>
          </w:tcPr>
          <w:p>
            <w:pPr>
              <w:spacing w:after="0" w:line="300" w:lineRule="exact"/>
              <w:jc w:val="center"/>
            </w:pPr>
            <w:r>
              <w:t>S17</w:t>
            </w:r>
            <w:r>
              <w:br/>
              <w:t>2026-09-13</w:t>
            </w:r>
          </w:p>
        </w:tc>
        <w:tc>
          <w:tcPr>
            <w:tcW w:type="dxa" w:w="4392"/>
            <w:vAlign w:val="center"/>
            <w:tcMar>
              <w:top w:w="75" w:type="dxa"/>
              <w:start w:w="75" w:type="dxa"/>
              <w:bottom w:w="75" w:type="dxa"/>
              <w:end w:w="75" w:type="dxa"/>
            </w:tcMar>
          </w:tcPr>
          <w:p>
            <w:pPr>
              <w:spacing w:after="0" w:line="300" w:lineRule="exact"/>
            </w:pPr>
            <w:r>
              <w:t>新浪财经转引共富财经</w:t>
            </w:r>
            <w:r>
              <w:br/>
              <w:t>鲜朗猫粮异物投诉与客服核查回应</w:t>
            </w:r>
          </w:p>
        </w:tc>
        <w:tc>
          <w:tcPr>
            <w:tcW w:type="dxa" w:w="1872"/>
            <w:vAlign w:val="center"/>
            <w:tcMar>
              <w:top w:w="75" w:type="dxa"/>
              <w:start w:w="75" w:type="dxa"/>
              <w:bottom w:w="75" w:type="dxa"/>
              <w:end w:w="75" w:type="dxa"/>
            </w:tcMar>
          </w:tcPr>
          <w:p>
            <w:pPr>
              <w:spacing w:after="0" w:line="300" w:lineRule="exact"/>
            </w:pPr>
            <w:r>
              <w:t>未证实消费信号</w:t>
            </w:r>
          </w:p>
        </w:tc>
        <w:tc>
          <w:tcPr>
            <w:tcW w:type="dxa" w:w="1469"/>
            <w:vAlign w:val="center"/>
            <w:tcMar>
              <w:top w:w="75" w:type="dxa"/>
              <w:start w:w="75" w:type="dxa"/>
              <w:bottom w:w="75" w:type="dxa"/>
              <w:end w:w="75" w:type="dxa"/>
            </w:tcMar>
          </w:tcPr>
          <w:p>
            <w:pPr>
              <w:spacing w:after="0" w:line="300" w:lineRule="exact"/>
              <w:jc w:val="center"/>
            </w:pPr>
            <w:r/>
            <w:hyperlink r:id="rId21">
              <w:r>
                <w:rPr>
                  <w:color w:val="0563C1"/>
                  <w:u w:val="single"/>
                  <w:rFonts w:eastAsia="Newsletter Sans SC" w:ascii="Newsletter Sans SC" w:hAnsi="Newsletter Sans SC" w:cs="Newsletter Sans SC"/>
                  <w:sz w:val="15"/>
                </w:rPr>
                <w:t>打开来源</w:t>
              </w:r>
            </w:hyperlink>
          </w:p>
        </w:tc>
      </w:tr>
    </w:tbl>
    <w:p>
      <w:pPr>
        <w:keepNext w:val="0"/>
        <w:spacing w:before="140" w:after="60" w:line="276" w:lineRule="auto"/>
      </w:pPr>
      <w:r>
        <w:rPr>
          <w:rFonts w:ascii="Newsletter Sans SC" w:hAnsi="Newsletter Sans SC" w:eastAsia="Newsletter Sans SC" w:cs="Newsletter Sans SC"/>
          <w:b w:val="0"/>
          <w:sz w:val="19"/>
        </w:rPr>
        <w:t>使用说明：本周报用于企业质量风险、法规情报和经营决策支持，不构成法律意见、产品合规批准、进口放行意见、采购指令或召回决定。官方通报、科学意见、法规文件、官方监测和未证实消费信号已按证据性质区分；最终判断应结合目标市场、供应链文件、检测结果和事实调查。</w:t>
      </w:r>
    </w:p>
    <w:p>
      <w:pPr>
        <w:keepNext w:val="0"/>
        <w:spacing w:before="120" w:after="60" w:line="276" w:lineRule="auto"/>
        <w:jc w:val="center"/>
      </w:pPr>
      <w:r>
        <w:rPr>
          <w:rFonts w:ascii="Newsletter Sans SC" w:hAnsi="Newsletter Sans SC" w:eastAsia="Newsletter Sans SC" w:cs="Newsletter Sans SC"/>
          <w:b w:val="0"/>
          <w:sz w:val="18"/>
        </w:rPr>
        <w:t>----------------------------------------结束----------------------------------------</w:t>
      </w:r>
    </w:p>
    <w:sectPr w:rsidR="00C95045" w:rsidRPr="00694756" w:rsidSect="00A203B4">
      <w:headerReference w:type="default" r:id="rId17"/>
      <w:footerReference w:type="default" r:id="rId18"/>
      <w:pgSz w:w="11906" w:h="16838"/>
      <w:pgMar w:top="936" w:right="1080" w:bottom="93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EA966" w14:textId="77777777" w:rsidR="007B3093" w:rsidRDefault="007B3093" w:rsidP="00A9502E">
      <w:pPr>
        <w:spacing w:before="0"/>
      </w:pPr>
      <w:r>
        <w:separator/>
      </w:r>
    </w:p>
  </w:endnote>
  <w:endnote w:type="continuationSeparator" w:id="0">
    <w:p w14:paraId="10C1EC84" w14:textId="77777777" w:rsidR="007B3093" w:rsidRDefault="007B3093" w:rsidP="00A9502E">
      <w:pPr>
        <w:spacing w:before="0"/>
      </w:pPr>
      <w:r>
        <w:continuationSeparator/>
      </w:r>
    </w:p>
  </w:endnote>
</w:endnotes>
</file>

<file path=word/fontTable.xml><?xml version="1.0" encoding="utf-8"?>
<w:fonts xmlns:w="http://schemas.openxmlformats.org/wordprocessingml/2006/main" xmlns:r="http://schemas.openxmlformats.org/officeDocument/2006/relationships">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ewsletter Sans SC">
    <w:panose1 w:val="020B0200000000000000"/>
    <w:charset w:val="86"/>
    <w:family w:val="swiss"/>
    <w:pitch w:val="variable"/>
    <w:sig w:usb0="20000083" w:usb1="2ADF3C10" w:usb2="00000016" w:usb3="00000000" w:csb0="60060107" w:csb1="00000000"/>
    <w:embedRegular r:id="portableFont1" w:fontKey="{542EEA47-5B7F-51A8-A563-D0DEF11344E1}" w:subsetted="0"/>
    <w:embedBold r:id="portableFont2" w:fontKey="{46C4B705-6D2F-5360-B8DE-697B9FF60E0D}" w:subsette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07361"/>
      <w:docPartObj>
        <w:docPartGallery w:val="Page Numbers (Bottom of Page)"/>
        <w:docPartUnique/>
      </w:docPartObj>
    </w:sdtPr>
    <w:sdtEndPr>
      <w:rPr>
        <w:noProof/>
      </w:rPr>
    </w:sdtEndPr>
    <w:sdtContent>
      <w:p w14:paraId="4249988E" w14:textId="51DB7573" w:rsidR="00B34DFF" w:rsidRDefault="00B34DFF">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2B558783" w14:textId="77777777" w:rsidR="00B34DFF" w:rsidRDefault="00B34DF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B3983" w14:textId="77777777" w:rsidR="007B3093" w:rsidRDefault="007B3093" w:rsidP="00A9502E">
      <w:pPr>
        <w:spacing w:before="0"/>
      </w:pPr>
      <w:r>
        <w:separator/>
      </w:r>
    </w:p>
  </w:footnote>
  <w:footnote w:type="continuationSeparator" w:id="0">
    <w:p w14:paraId="29DFC4E0" w14:textId="77777777" w:rsidR="007B3093" w:rsidRDefault="007B3093" w:rsidP="00A9502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F8F5" w14:textId="599A2B6D" w:rsidR="00A9502E" w:rsidRDefault="00A9502E">
    <w:pPr>
      <w:pStyle w:val="af9"/>
    </w:pPr>
    <w:r w:rsidRPr="00A9502E">
      <w:rPr>
        <w:noProof/>
      </w:rPr>
      <w:drawing>
        <wp:inline distT="0" distB="0" distL="0" distR="0" wp14:anchorId="2B18C46E" wp14:editId="15BAD590">
          <wp:extent cx="1880436" cy="885825"/>
          <wp:effectExtent l="0" t="0" r="5715" b="0"/>
          <wp:docPr id="11" name="Picture 10">
            <a:extLst xmlns:a="http://schemas.openxmlformats.org/drawingml/2006/main">
              <a:ext uri="{FF2B5EF4-FFF2-40B4-BE49-F238E27FC236}">
                <a16:creationId xmlns:a16="http://schemas.microsoft.com/office/drawing/2014/main" id="{85775F0B-6334-2F46-9B7D-AA2C76DF64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85775F0B-6334-2F46-9B7D-AA2C76DF647A}"/>
                      </a:ext>
                    </a:extLst>
                  </pic:cNvPr>
                  <pic:cNvPicPr>
                    <a:picLocks noChangeAspect="1"/>
                  </pic:cNvPicPr>
                </pic:nvPicPr>
                <pic:blipFill>
                  <a:blip r:embed="rId1" cstate="email">
                    <a:extLst>
                      <a:ext uri="{28A0092B-C50C-407E-A947-70E740481C1C}">
                        <a14:useLocalDpi xmlns:a14="http://schemas.microsoft.com/office/drawing/2010/main"/>
                      </a:ext>
                    </a:extLst>
                  </a:blip>
                  <a:stretch>
                    <a:fillRect/>
                  </a:stretch>
                </pic:blipFill>
                <pic:spPr>
                  <a:xfrm>
                    <a:off x="0" y="0"/>
                    <a:ext cx="1885981" cy="888437"/>
                  </a:xfrm>
                  <a:prstGeom prst="rect">
                    <a:avLst/>
                  </a:prstGeom>
                </pic:spPr>
              </pic:pic>
            </a:graphicData>
          </a:graphic>
        </wp:inline>
      </w:drawing>
    </w:r>
  </w:p>
  <w:p w14:paraId="6B864576" w14:textId="77777777" w:rsidR="00A9502E" w:rsidRDefault="00A9502E">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1AB1"/>
    <w:multiLevelType w:val="hybridMultilevel"/>
    <w:tmpl w:val="921E20BA"/>
    <w:lvl w:ilvl="0" w:tplc="147C37AE">
      <w:start w:val="2"/>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6CC7A47"/>
    <w:multiLevelType w:val="hybridMultilevel"/>
    <w:tmpl w:val="46021D8E"/>
    <w:lvl w:ilvl="0" w:tplc="DE5870DC">
      <w:start w:val="3"/>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9292059"/>
    <w:multiLevelType w:val="hybridMultilevel"/>
    <w:tmpl w:val="B7525452"/>
    <w:lvl w:ilvl="0" w:tplc="528EA63C">
      <w:start w:val="1"/>
      <w:numFmt w:val="decimal"/>
      <w:lvlText w:val="%1."/>
      <w:lvlJc w:val="left"/>
      <w:pPr>
        <w:ind w:left="360" w:hanging="360"/>
      </w:pPr>
      <w:rPr>
        <w:rFonts w:hint="default" w:ascii="Newsletter Sans SC" w:hAnsi="Newsletter Sans SC" w:eastAsia="Newsletter Sans SC" w:cs="Newsletter Sans SC"/>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0D9842BE"/>
    <w:multiLevelType w:val="hybridMultilevel"/>
    <w:tmpl w:val="8352426C"/>
    <w:lvl w:ilvl="0" w:tplc="5E58E630">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176E794B"/>
    <w:multiLevelType w:val="hybridMultilevel"/>
    <w:tmpl w:val="11BCB492"/>
    <w:lvl w:ilvl="0" w:tplc="6B08A12E">
      <w:start w:val="8"/>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20CD0E09"/>
    <w:multiLevelType w:val="hybridMultilevel"/>
    <w:tmpl w:val="2E6A0BB6"/>
    <w:lvl w:ilvl="0" w:tplc="AB8C9454">
      <w:start w:val="1"/>
      <w:numFmt w:val="decimal"/>
      <w:pStyle w:val="Numbered1"/>
      <w:lvlText w:val="%1."/>
      <w:lvlJc w:val="left"/>
      <w:pPr>
        <w:ind w:left="1080" w:hanging="360"/>
      </w:pPr>
      <w:rPr>
        <w:rFonts w:hint="default" w:ascii="Newsletter Sans SC" w:hAnsi="Newsletter Sans SC" w:eastAsia="Newsletter Sans SC" w:cs="Newsletter Sans SC"/>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14B6843"/>
    <w:multiLevelType w:val="multilevel"/>
    <w:tmpl w:val="9BB01E42"/>
    <w:lvl w:ilvl="0">
      <w:start w:val="1"/>
      <w:numFmt w:val="decimal"/>
      <w:pStyle w:val="1"/>
      <w:lvlText w:val="%1"/>
      <w:lvlJc w:val="left"/>
      <w:pPr>
        <w:ind w:left="578" w:hanging="578"/>
      </w:pPr>
      <w:rPr>
        <w:rFonts w:hint="default" w:ascii="Newsletter Sans SC" w:hAnsi="Newsletter Sans SC" w:eastAsia="Newsletter Sans SC" w:cs="Newsletter Sans SC"/>
      </w:rPr>
    </w:lvl>
    <w:lvl w:ilvl="1">
      <w:start w:val="1"/>
      <w:numFmt w:val="decimal"/>
      <w:pStyle w:val="2"/>
      <w:lvlText w:val="%1.%2"/>
      <w:lvlJc w:val="left"/>
      <w:pPr>
        <w:ind w:left="576" w:hanging="576"/>
      </w:pPr>
      <w:rPr>
        <w:rFonts w:hint="default" w:ascii="Newsletter Sans SC" w:hAnsi="Newsletter Sans SC" w:eastAsia="Newsletter Sans SC" w:cs="Newsletter Sans SC"/>
      </w:rPr>
    </w:lvl>
    <w:lvl w:ilvl="2">
      <w:start w:val="1"/>
      <w:numFmt w:val="decimal"/>
      <w:pStyle w:val="3"/>
      <w:lvlText w:val="%1.%2.%3"/>
      <w:lvlJc w:val="left"/>
      <w:pPr>
        <w:ind w:left="720" w:hanging="720"/>
      </w:pPr>
      <w:rPr>
        <w:rFonts w:hint="default" w:ascii="Newsletter Sans SC" w:hAnsi="Newsletter Sans SC" w:eastAsia="Newsletter Sans SC" w:cs="Newsletter Sans SC"/>
      </w:rPr>
    </w:lvl>
    <w:lvl w:ilvl="3">
      <w:start w:val="1"/>
      <w:numFmt w:val="decimal"/>
      <w:pStyle w:val="4"/>
      <w:lvlText w:val="%1.%2.%3.%4"/>
      <w:lvlJc w:val="left"/>
      <w:pPr>
        <w:ind w:left="864" w:hanging="864"/>
      </w:pPr>
      <w:rPr>
        <w:rFonts w:hint="default" w:ascii="Newsletter Sans SC" w:hAnsi="Newsletter Sans SC" w:eastAsia="Newsletter Sans SC" w:cs="Newsletter Sans SC"/>
      </w:rPr>
    </w:lvl>
    <w:lvl w:ilvl="4">
      <w:start w:val="1"/>
      <w:numFmt w:val="decimal"/>
      <w:pStyle w:val="5"/>
      <w:lvlText w:val="%1.%2.%3.%4.%5"/>
      <w:lvlJc w:val="left"/>
      <w:pPr>
        <w:ind w:left="1008" w:hanging="1008"/>
      </w:pPr>
      <w:rPr>
        <w:rFonts w:hint="default" w:ascii="Newsletter Sans SC" w:hAnsi="Newsletter Sans SC" w:eastAsia="Newsletter Sans SC" w:cs="Newsletter Sans SC"/>
      </w:rPr>
    </w:lvl>
    <w:lvl w:ilvl="5">
      <w:start w:val="1"/>
      <w:numFmt w:val="decimal"/>
      <w:pStyle w:val="6"/>
      <w:lvlText w:val="%1.%2.%3.%4.%5.%6"/>
      <w:lvlJc w:val="left"/>
      <w:pPr>
        <w:ind w:left="1152" w:hanging="1152"/>
      </w:pPr>
      <w:rPr>
        <w:rFonts w:hint="default" w:ascii="Newsletter Sans SC" w:hAnsi="Newsletter Sans SC" w:eastAsia="Newsletter Sans SC" w:cs="Newsletter Sans SC"/>
      </w:rPr>
    </w:lvl>
    <w:lvl w:ilvl="6">
      <w:start w:val="1"/>
      <w:numFmt w:val="decimal"/>
      <w:pStyle w:val="7"/>
      <w:lvlText w:val="%1.%2.%3.%4.%5.%6.%7"/>
      <w:lvlJc w:val="left"/>
      <w:pPr>
        <w:ind w:left="1296" w:hanging="1296"/>
      </w:pPr>
      <w:rPr>
        <w:rFonts w:hint="default" w:ascii="Newsletter Sans SC" w:hAnsi="Newsletter Sans SC" w:eastAsia="Newsletter Sans SC" w:cs="Newsletter Sans SC"/>
      </w:rPr>
    </w:lvl>
    <w:lvl w:ilvl="7">
      <w:start w:val="1"/>
      <w:numFmt w:val="decimal"/>
      <w:pStyle w:val="8"/>
      <w:lvlText w:val="%1.%2.%3.%4.%5.%6.%7.%8"/>
      <w:lvlJc w:val="left"/>
      <w:pPr>
        <w:ind w:left="1440" w:hanging="1440"/>
      </w:pPr>
      <w:rPr>
        <w:rFonts w:hint="default" w:ascii="Newsletter Sans SC" w:hAnsi="Newsletter Sans SC" w:eastAsia="Newsletter Sans SC" w:cs="Newsletter Sans SC"/>
      </w:rPr>
    </w:lvl>
    <w:lvl w:ilvl="8">
      <w:start w:val="1"/>
      <w:numFmt w:val="decimal"/>
      <w:pStyle w:val="9"/>
      <w:lvlText w:val="%1.%2.%3.%4.%5.%6.%7.%8.%9"/>
      <w:lvlJc w:val="left"/>
      <w:pPr>
        <w:ind w:left="1584" w:hanging="1584"/>
      </w:pPr>
      <w:rPr>
        <w:rFonts w:hint="default" w:ascii="Newsletter Sans SC" w:hAnsi="Newsletter Sans SC" w:eastAsia="Newsletter Sans SC" w:cs="Newsletter Sans SC"/>
      </w:rPr>
    </w:lvl>
  </w:abstractNum>
  <w:abstractNum w:abstractNumId="7" w15:restartNumberingAfterBreak="0">
    <w:nsid w:val="25376C5A"/>
    <w:multiLevelType w:val="hybridMultilevel"/>
    <w:tmpl w:val="DF647C0E"/>
    <w:lvl w:ilvl="0" w:tplc="9AB82920">
      <w:start w:val="5"/>
      <w:numFmt w:val="decimal"/>
      <w:lvlText w:val="%1"/>
      <w:lvlJc w:val="left"/>
      <w:pPr>
        <w:ind w:left="360" w:hanging="360"/>
      </w:pPr>
      <w:rPr>
        <w:rFonts w:hint="default" w:ascii="Newsletter Sans SC" w:hAnsi="Newsletter Sans SC" w:eastAsia="Newsletter Sans SC" w:cs="Newsletter Sans SC"/>
        <w:color w:val="auto"/>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2F3F39FE"/>
    <w:multiLevelType w:val="hybridMultilevel"/>
    <w:tmpl w:val="1D8035DC"/>
    <w:lvl w:ilvl="0" w:tplc="FE7458D4">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3294A5A"/>
    <w:multiLevelType w:val="hybridMultilevel"/>
    <w:tmpl w:val="D6F86318"/>
    <w:lvl w:ilvl="0" w:tplc="0504ED22">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D1724F7"/>
    <w:multiLevelType w:val="hybridMultilevel"/>
    <w:tmpl w:val="38B25A2C"/>
    <w:lvl w:ilvl="0" w:tplc="6CFA0F4C">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1" w15:restartNumberingAfterBreak="0">
    <w:nsid w:val="511E3A15"/>
    <w:multiLevelType w:val="hybridMultilevel"/>
    <w:tmpl w:val="94FE716C"/>
    <w:lvl w:ilvl="0" w:tplc="BB3A3018">
      <w:start w:val="5"/>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5A4A1DC9"/>
    <w:multiLevelType w:val="hybridMultilevel"/>
    <w:tmpl w:val="22F47766"/>
    <w:lvl w:ilvl="0" w:tplc="19B48822">
      <w:start w:val="5"/>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5F175213"/>
    <w:multiLevelType w:val="multilevel"/>
    <w:tmpl w:val="100C001D"/>
    <w:styleLink w:val="SGS"/>
    <w:lvl w:ilvl="0">
      <w:start w:val="1"/>
      <w:numFmt w:val="bullet"/>
      <w:lvlText w:val="■"/>
      <w:lvlJc w:val="left"/>
      <w:pPr>
        <w:ind w:left="360" w:hanging="360"/>
      </w:pPr>
      <w:rPr>
        <w:rFonts w:ascii="Newsletter Sans SC" w:hAnsi="Newsletter Sans SC" w:hint="default" w:eastAsia="Newsletter Sans SC" w:cs="Newsletter Sans SC"/>
        <w:color w:val="FF9900"/>
      </w:rPr>
    </w:lvl>
    <w:lvl w:ilvl="1">
      <w:start w:val="1"/>
      <w:numFmt w:val="bullet"/>
      <w:lvlText w:val="■"/>
      <w:lvlJc w:val="left"/>
      <w:pPr>
        <w:ind w:left="720" w:hanging="360"/>
      </w:pPr>
      <w:rPr>
        <w:rFonts w:ascii="Newsletter Sans SC" w:hAnsi="Newsletter Sans SC" w:hint="default" w:eastAsia="Newsletter Sans SC" w:cs="Newsletter Sans SC"/>
        <w:color w:val="FF9900"/>
        <w:sz w:val="16"/>
      </w:rPr>
    </w:lvl>
    <w:lvl w:ilvl="2">
      <w:start w:val="1"/>
      <w:numFmt w:val="bullet"/>
      <w:lvlText w:val="•"/>
      <w:lvlJc w:val="left"/>
      <w:pPr>
        <w:ind w:left="1080" w:hanging="360"/>
      </w:pPr>
      <w:rPr>
        <w:rFonts w:ascii="Newsletter Sans SC" w:hAnsi="Newsletter Sans SC" w:hint="default" w:eastAsia="Newsletter Sans SC" w:cs="Newsletter Sans SC"/>
        <w:color w:val="000000" w:themeColor="text1"/>
      </w:rPr>
    </w:lvl>
    <w:lvl w:ilvl="3">
      <w:start w:val="1"/>
      <w:numFmt w:val="bullet"/>
      <w:lvlText w:val="▪"/>
      <w:lvlJc w:val="left"/>
      <w:pPr>
        <w:ind w:left="1440" w:hanging="360"/>
      </w:pPr>
      <w:rPr>
        <w:rFonts w:ascii="Newsletter Sans SC" w:hAnsi="Newsletter Sans SC" w:hint="default" w:eastAsia="Newsletter Sans SC" w:cs="Newsletter Sans SC"/>
        <w:color w:val="000000" w:themeColor="text1"/>
      </w:rPr>
    </w:lvl>
    <w:lvl w:ilvl="4">
      <w:start w:val="1"/>
      <w:numFmt w:val="bullet"/>
      <w:lvlText w:val="-"/>
      <w:lvlJc w:val="left"/>
      <w:pPr>
        <w:ind w:left="1800" w:hanging="360"/>
      </w:pPr>
      <w:rPr>
        <w:rFonts w:ascii="Newsletter Sans SC" w:hAnsi="Newsletter Sans SC" w:hint="default" w:eastAsia="Newsletter Sans SC" w:cs="Newsletter Sans SC"/>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10C4F32"/>
    <w:multiLevelType w:val="hybridMultilevel"/>
    <w:tmpl w:val="84508CAC"/>
    <w:lvl w:ilvl="0" w:tplc="D5FE2826">
      <w:start w:val="5"/>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38C5117"/>
    <w:multiLevelType w:val="multilevel"/>
    <w:tmpl w:val="100C001D"/>
    <w:styleLink w:val="Style1"/>
    <w:lvl w:ilvl="0">
      <w:start w:val="1"/>
      <w:numFmt w:val="bullet"/>
      <w:lvlText w:val="■"/>
      <w:lvlJc w:val="left"/>
      <w:pPr>
        <w:ind w:left="360" w:hanging="360"/>
      </w:pPr>
      <w:rPr>
        <w:rFonts w:ascii="Newsletter Sans SC" w:hAnsi="Newsletter Sans SC" w:hint="default" w:eastAsia="Newsletter Sans SC" w:cs="Newsletter Sans SC"/>
        <w:color w:val="FF9900"/>
      </w:rPr>
    </w:lvl>
    <w:lvl w:ilvl="1">
      <w:start w:val="1"/>
      <w:numFmt w:val="bullet"/>
      <w:lvlText w:val="■"/>
      <w:lvlJc w:val="left"/>
      <w:pPr>
        <w:ind w:left="720" w:hanging="360"/>
      </w:pPr>
      <w:rPr>
        <w:rFonts w:ascii="Newsletter Sans SC" w:hAnsi="Newsletter Sans SC" w:hint="default" w:eastAsia="Newsletter Sans SC" w:cs="Newsletter Sans SC"/>
        <w:color w:val="FF9900"/>
        <w:sz w:val="16"/>
      </w:rPr>
    </w:lvl>
    <w:lvl w:ilvl="2">
      <w:start w:val="1"/>
      <w:numFmt w:val="bullet"/>
      <w:lvlText w:val="•"/>
      <w:lvlJc w:val="left"/>
      <w:pPr>
        <w:ind w:left="1080" w:hanging="360"/>
      </w:pPr>
      <w:rPr>
        <w:rFonts w:ascii="Newsletter Sans SC" w:hAnsi="Newsletter Sans SC" w:hint="default" w:eastAsia="Newsletter Sans SC" w:cs="Newsletter Sans SC"/>
        <w:color w:val="000000" w:themeColor="text1"/>
      </w:rPr>
    </w:lvl>
    <w:lvl w:ilvl="3">
      <w:start w:val="1"/>
      <w:numFmt w:val="bullet"/>
      <w:lvlText w:val="▪"/>
      <w:lvlJc w:val="left"/>
      <w:pPr>
        <w:ind w:left="1440" w:hanging="360"/>
      </w:pPr>
      <w:rPr>
        <w:rFonts w:ascii="Newsletter Sans SC" w:hAnsi="Newsletter Sans SC" w:hint="default" w:eastAsia="Newsletter Sans SC" w:cs="Newsletter Sans SC"/>
        <w:color w:val="000000" w:themeColor="text1"/>
      </w:rPr>
    </w:lvl>
    <w:lvl w:ilvl="4">
      <w:start w:val="1"/>
      <w:numFmt w:val="bullet"/>
      <w:lvlText w:val="-"/>
      <w:lvlJc w:val="left"/>
      <w:pPr>
        <w:ind w:left="1800" w:hanging="360"/>
      </w:pPr>
      <w:rPr>
        <w:rFonts w:ascii="Newsletter Sans SC" w:hAnsi="Newsletter Sans SC" w:hint="default" w:eastAsia="Newsletter Sans SC" w:cs="Newsletter Sans SC"/>
        <w:color w:val="000000" w:themeColor="text1"/>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827002F"/>
    <w:multiLevelType w:val="hybridMultilevel"/>
    <w:tmpl w:val="82C666C2"/>
    <w:lvl w:ilvl="0" w:tplc="4A143A22">
      <w:start w:val="2"/>
      <w:numFmt w:val="decimal"/>
      <w:lvlText w:val="%1"/>
      <w:lvlJc w:val="left"/>
      <w:pPr>
        <w:ind w:left="720" w:hanging="360"/>
      </w:pPr>
      <w:rPr>
        <w:rFonts w:hint="default" w:ascii="Newsletter Sans SC" w:hAnsi="Newsletter Sans SC" w:eastAsia="Newsletter Sans SC" w:cs="Newsletter Sans S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1E195A"/>
    <w:multiLevelType w:val="hybridMultilevel"/>
    <w:tmpl w:val="3356B02C"/>
    <w:lvl w:ilvl="0" w:tplc="50F8C110">
      <w:start w:val="5"/>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8" w15:restartNumberingAfterBreak="0">
    <w:nsid w:val="70D15105"/>
    <w:multiLevelType w:val="hybridMultilevel"/>
    <w:tmpl w:val="79F64A5A"/>
    <w:lvl w:ilvl="0" w:tplc="D5FA7D64">
      <w:start w:val="1"/>
      <w:numFmt w:val="bullet"/>
      <w:pStyle w:val="List1"/>
      <w:lvlText w:val=""/>
      <w:lvlJc w:val="left"/>
      <w:pPr>
        <w:ind w:left="720" w:hanging="360"/>
      </w:pPr>
      <w:rPr>
        <w:rFonts w:ascii="Symbol" w:hAnsi="Symbol" w:hint="default" w:eastAsia="Newsletter Sans SC" w:cs="Newsletter Sans SC"/>
      </w:rPr>
    </w:lvl>
    <w:lvl w:ilvl="1" w:tplc="08090003" w:tentative="1">
      <w:start w:val="1"/>
      <w:numFmt w:val="bullet"/>
      <w:lvlText w:val="o"/>
      <w:lvlJc w:val="left"/>
      <w:pPr>
        <w:ind w:left="1440" w:hanging="360"/>
      </w:pPr>
      <w:rPr>
        <w:rFonts w:ascii="Newsletter Sans SC" w:hAnsi="Newsletter Sans SC" w:cs="Newsletter Sans SC" w:hint="default" w:eastAsia="Newsletter Sans SC"/>
      </w:rPr>
    </w:lvl>
    <w:lvl w:ilvl="2" w:tplc="08090005" w:tentative="1">
      <w:start w:val="1"/>
      <w:numFmt w:val="bullet"/>
      <w:lvlText w:val=""/>
      <w:lvlJc w:val="left"/>
      <w:pPr>
        <w:ind w:left="2160" w:hanging="360"/>
      </w:pPr>
      <w:rPr>
        <w:rFonts w:ascii="Wingdings" w:hAnsi="Wingdings" w:hint="default" w:eastAsia="Newsletter Sans SC" w:cs="Newsletter Sans SC"/>
      </w:rPr>
    </w:lvl>
    <w:lvl w:ilvl="3" w:tplc="08090001" w:tentative="1">
      <w:start w:val="1"/>
      <w:numFmt w:val="bullet"/>
      <w:lvlText w:val=""/>
      <w:lvlJc w:val="left"/>
      <w:pPr>
        <w:ind w:left="2880" w:hanging="360"/>
      </w:pPr>
      <w:rPr>
        <w:rFonts w:ascii="Symbol" w:hAnsi="Symbol" w:hint="default" w:eastAsia="Newsletter Sans SC" w:cs="Newsletter Sans SC"/>
      </w:rPr>
    </w:lvl>
    <w:lvl w:ilvl="4" w:tplc="08090003" w:tentative="1">
      <w:start w:val="1"/>
      <w:numFmt w:val="bullet"/>
      <w:lvlText w:val="o"/>
      <w:lvlJc w:val="left"/>
      <w:pPr>
        <w:ind w:left="3600" w:hanging="360"/>
      </w:pPr>
      <w:rPr>
        <w:rFonts w:ascii="Newsletter Sans SC" w:hAnsi="Newsletter Sans SC" w:cs="Newsletter Sans SC" w:hint="default" w:eastAsia="Newsletter Sans SC"/>
      </w:rPr>
    </w:lvl>
    <w:lvl w:ilvl="5" w:tplc="08090005" w:tentative="1">
      <w:start w:val="1"/>
      <w:numFmt w:val="bullet"/>
      <w:lvlText w:val=""/>
      <w:lvlJc w:val="left"/>
      <w:pPr>
        <w:ind w:left="4320" w:hanging="360"/>
      </w:pPr>
      <w:rPr>
        <w:rFonts w:ascii="Wingdings" w:hAnsi="Wingdings" w:hint="default" w:eastAsia="Newsletter Sans SC" w:cs="Newsletter Sans SC"/>
      </w:rPr>
    </w:lvl>
    <w:lvl w:ilvl="6" w:tplc="08090001" w:tentative="1">
      <w:start w:val="1"/>
      <w:numFmt w:val="bullet"/>
      <w:lvlText w:val=""/>
      <w:lvlJc w:val="left"/>
      <w:pPr>
        <w:ind w:left="5040" w:hanging="360"/>
      </w:pPr>
      <w:rPr>
        <w:rFonts w:ascii="Symbol" w:hAnsi="Symbol" w:hint="default" w:eastAsia="Newsletter Sans SC" w:cs="Newsletter Sans SC"/>
      </w:rPr>
    </w:lvl>
    <w:lvl w:ilvl="7" w:tplc="08090003" w:tentative="1">
      <w:start w:val="1"/>
      <w:numFmt w:val="bullet"/>
      <w:lvlText w:val="o"/>
      <w:lvlJc w:val="left"/>
      <w:pPr>
        <w:ind w:left="5760" w:hanging="360"/>
      </w:pPr>
      <w:rPr>
        <w:rFonts w:ascii="Newsletter Sans SC" w:hAnsi="Newsletter Sans SC" w:cs="Newsletter Sans SC" w:hint="default" w:eastAsia="Newsletter Sans SC"/>
      </w:rPr>
    </w:lvl>
    <w:lvl w:ilvl="8" w:tplc="08090005" w:tentative="1">
      <w:start w:val="1"/>
      <w:numFmt w:val="bullet"/>
      <w:lvlText w:val=""/>
      <w:lvlJc w:val="left"/>
      <w:pPr>
        <w:ind w:left="6480" w:hanging="360"/>
      </w:pPr>
      <w:rPr>
        <w:rFonts w:ascii="Wingdings" w:hAnsi="Wingdings" w:hint="default" w:eastAsia="Newsletter Sans SC" w:cs="Newsletter Sans SC"/>
      </w:rPr>
    </w:lvl>
  </w:abstractNum>
  <w:abstractNum w:abstractNumId="19" w15:restartNumberingAfterBreak="0">
    <w:nsid w:val="76167438"/>
    <w:multiLevelType w:val="hybridMultilevel"/>
    <w:tmpl w:val="13D400FE"/>
    <w:lvl w:ilvl="0" w:tplc="C6E8660A">
      <w:start w:val="3"/>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77D85D9B"/>
    <w:multiLevelType w:val="hybridMultilevel"/>
    <w:tmpl w:val="6826FB3C"/>
    <w:lvl w:ilvl="0" w:tplc="65781C92">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1" w15:restartNumberingAfterBreak="0">
    <w:nsid w:val="79144477"/>
    <w:multiLevelType w:val="hybridMultilevel"/>
    <w:tmpl w:val="6CEC001C"/>
    <w:lvl w:ilvl="0" w:tplc="BACEED9E">
      <w:start w:val="4"/>
      <w:numFmt w:val="decimal"/>
      <w:lvlText w:val="%1"/>
      <w:lvlJc w:val="left"/>
      <w:pPr>
        <w:ind w:left="360" w:hanging="360"/>
      </w:pPr>
      <w:rPr>
        <w:rFonts w:hint="default" w:ascii="Newsletter Sans SC" w:hAnsi="Newsletter Sans SC" w:eastAsia="Newsletter Sans SC" w:cs="Newsletter Sans SC"/>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762343580">
    <w:abstractNumId w:val="6"/>
  </w:num>
  <w:num w:numId="2" w16cid:durableId="2062556140">
    <w:abstractNumId w:val="18"/>
  </w:num>
  <w:num w:numId="3" w16cid:durableId="720207222">
    <w:abstractNumId w:val="5"/>
  </w:num>
  <w:num w:numId="4" w16cid:durableId="624040483">
    <w:abstractNumId w:val="15"/>
  </w:num>
  <w:num w:numId="5" w16cid:durableId="1367104030">
    <w:abstractNumId w:val="13"/>
  </w:num>
  <w:num w:numId="6" w16cid:durableId="1558011995">
    <w:abstractNumId w:val="5"/>
  </w:num>
  <w:num w:numId="7" w16cid:durableId="1477408203">
    <w:abstractNumId w:val="18"/>
  </w:num>
  <w:num w:numId="8" w16cid:durableId="1869486266">
    <w:abstractNumId w:val="6"/>
  </w:num>
  <w:num w:numId="9" w16cid:durableId="332882075">
    <w:abstractNumId w:val="6"/>
  </w:num>
  <w:num w:numId="10" w16cid:durableId="541752175">
    <w:abstractNumId w:val="6"/>
  </w:num>
  <w:num w:numId="11" w16cid:durableId="59602614">
    <w:abstractNumId w:val="6"/>
  </w:num>
  <w:num w:numId="12" w16cid:durableId="1738360202">
    <w:abstractNumId w:val="6"/>
  </w:num>
  <w:num w:numId="13" w16cid:durableId="1886453761">
    <w:abstractNumId w:val="6"/>
  </w:num>
  <w:num w:numId="14" w16cid:durableId="1813478220">
    <w:abstractNumId w:val="6"/>
  </w:num>
  <w:num w:numId="15" w16cid:durableId="1392078643">
    <w:abstractNumId w:val="6"/>
  </w:num>
  <w:num w:numId="16" w16cid:durableId="85620886">
    <w:abstractNumId w:val="6"/>
  </w:num>
  <w:num w:numId="17" w16cid:durableId="292178531">
    <w:abstractNumId w:val="6"/>
  </w:num>
  <w:num w:numId="18" w16cid:durableId="547960984">
    <w:abstractNumId w:val="18"/>
  </w:num>
  <w:num w:numId="19" w16cid:durableId="262153012">
    <w:abstractNumId w:val="5"/>
  </w:num>
  <w:num w:numId="20" w16cid:durableId="198930355">
    <w:abstractNumId w:val="6"/>
  </w:num>
  <w:num w:numId="21" w16cid:durableId="2107114912">
    <w:abstractNumId w:val="15"/>
  </w:num>
  <w:num w:numId="22" w16cid:durableId="2131387687">
    <w:abstractNumId w:val="13"/>
  </w:num>
  <w:num w:numId="23" w16cid:durableId="617223694">
    <w:abstractNumId w:val="6"/>
  </w:num>
  <w:num w:numId="24" w16cid:durableId="308174482">
    <w:abstractNumId w:val="11"/>
  </w:num>
  <w:num w:numId="25" w16cid:durableId="1829781595">
    <w:abstractNumId w:val="4"/>
  </w:num>
  <w:num w:numId="26" w16cid:durableId="2021006674">
    <w:abstractNumId w:val="12"/>
  </w:num>
  <w:num w:numId="27" w16cid:durableId="955986422">
    <w:abstractNumId w:val="14"/>
  </w:num>
  <w:num w:numId="28" w16cid:durableId="429206661">
    <w:abstractNumId w:val="17"/>
  </w:num>
  <w:num w:numId="29" w16cid:durableId="1451507811">
    <w:abstractNumId w:val="7"/>
  </w:num>
  <w:num w:numId="30" w16cid:durableId="1811554898">
    <w:abstractNumId w:val="1"/>
  </w:num>
  <w:num w:numId="31" w16cid:durableId="789667805">
    <w:abstractNumId w:val="19"/>
  </w:num>
  <w:num w:numId="32" w16cid:durableId="931353020">
    <w:abstractNumId w:val="6"/>
  </w:num>
  <w:num w:numId="33" w16cid:durableId="1117529531">
    <w:abstractNumId w:val="6"/>
  </w:num>
  <w:num w:numId="34" w16cid:durableId="150172186">
    <w:abstractNumId w:val="6"/>
  </w:num>
  <w:num w:numId="35" w16cid:durableId="2052875427">
    <w:abstractNumId w:val="6"/>
  </w:num>
  <w:num w:numId="36" w16cid:durableId="195625374">
    <w:abstractNumId w:val="6"/>
  </w:num>
  <w:num w:numId="37" w16cid:durableId="2134783426">
    <w:abstractNumId w:val="0"/>
  </w:num>
  <w:num w:numId="38" w16cid:durableId="1803503662">
    <w:abstractNumId w:val="6"/>
  </w:num>
  <w:num w:numId="39" w16cid:durableId="641812255">
    <w:abstractNumId w:val="10"/>
  </w:num>
  <w:num w:numId="40" w16cid:durableId="1249341533">
    <w:abstractNumId w:val="9"/>
  </w:num>
  <w:num w:numId="41" w16cid:durableId="1900240095">
    <w:abstractNumId w:val="20"/>
  </w:num>
  <w:num w:numId="42" w16cid:durableId="1827277005">
    <w:abstractNumId w:val="21"/>
  </w:num>
  <w:num w:numId="43" w16cid:durableId="1036351446">
    <w:abstractNumId w:val="3"/>
  </w:num>
  <w:num w:numId="44" w16cid:durableId="1474062415">
    <w:abstractNumId w:val="8"/>
  </w:num>
  <w:num w:numId="45" w16cid:durableId="17701299">
    <w:abstractNumId w:val="16"/>
  </w:num>
  <w:num w:numId="46" w16cid:durableId="319504811">
    <w:abstractNumId w:val="6"/>
  </w:num>
  <w:num w:numId="47" w16cid:durableId="333266917">
    <w:abstractNumId w:val="6"/>
  </w:num>
  <w:num w:numId="48" w16cid:durableId="175211997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val="1"/>
  <w:embedSystemFonts w:val="1"/>
  <w:saveSubsetFonts w:val="0"/>
  <w:bordersDoNotSurroundHeader/>
  <w:bordersDoNotSurroundFooter/>
  <w:hideSpellingErrors w:val="1"/>
  <w:hideGrammaticalErrors w:val="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E9F"/>
    <w:rsid w:val="0001524D"/>
    <w:rsid w:val="0005001B"/>
    <w:rsid w:val="00051572"/>
    <w:rsid w:val="000551F0"/>
    <w:rsid w:val="00063B07"/>
    <w:rsid w:val="000723E1"/>
    <w:rsid w:val="00072972"/>
    <w:rsid w:val="000732FD"/>
    <w:rsid w:val="00075016"/>
    <w:rsid w:val="00080335"/>
    <w:rsid w:val="00086974"/>
    <w:rsid w:val="000944A8"/>
    <w:rsid w:val="0009785F"/>
    <w:rsid w:val="000B0FED"/>
    <w:rsid w:val="000B2B7F"/>
    <w:rsid w:val="000B4456"/>
    <w:rsid w:val="000B50AA"/>
    <w:rsid w:val="000B5B1E"/>
    <w:rsid w:val="000B5F22"/>
    <w:rsid w:val="000C4601"/>
    <w:rsid w:val="000D4E4F"/>
    <w:rsid w:val="001000FA"/>
    <w:rsid w:val="00124F98"/>
    <w:rsid w:val="001404F4"/>
    <w:rsid w:val="00146D57"/>
    <w:rsid w:val="00155265"/>
    <w:rsid w:val="0017011F"/>
    <w:rsid w:val="00174F75"/>
    <w:rsid w:val="00175800"/>
    <w:rsid w:val="0019769E"/>
    <w:rsid w:val="001B0020"/>
    <w:rsid w:val="001B03D9"/>
    <w:rsid w:val="001B189F"/>
    <w:rsid w:val="001B6633"/>
    <w:rsid w:val="001B702B"/>
    <w:rsid w:val="001B7436"/>
    <w:rsid w:val="001C685E"/>
    <w:rsid w:val="001D0B06"/>
    <w:rsid w:val="001D49ED"/>
    <w:rsid w:val="001E3D3B"/>
    <w:rsid w:val="00205687"/>
    <w:rsid w:val="00206087"/>
    <w:rsid w:val="00216EC5"/>
    <w:rsid w:val="00223E52"/>
    <w:rsid w:val="00226ED0"/>
    <w:rsid w:val="00233BF0"/>
    <w:rsid w:val="00237DAE"/>
    <w:rsid w:val="00241F99"/>
    <w:rsid w:val="00242237"/>
    <w:rsid w:val="00256A14"/>
    <w:rsid w:val="00267266"/>
    <w:rsid w:val="00274058"/>
    <w:rsid w:val="00276085"/>
    <w:rsid w:val="002874F5"/>
    <w:rsid w:val="00291BE2"/>
    <w:rsid w:val="002A66F6"/>
    <w:rsid w:val="002A6E6E"/>
    <w:rsid w:val="002C0321"/>
    <w:rsid w:val="002C2F8E"/>
    <w:rsid w:val="002C6BB9"/>
    <w:rsid w:val="002D6D5B"/>
    <w:rsid w:val="002E0A86"/>
    <w:rsid w:val="00307AF3"/>
    <w:rsid w:val="003108BB"/>
    <w:rsid w:val="003133DC"/>
    <w:rsid w:val="0032700C"/>
    <w:rsid w:val="0033744B"/>
    <w:rsid w:val="00347880"/>
    <w:rsid w:val="00356A35"/>
    <w:rsid w:val="00362537"/>
    <w:rsid w:val="00366301"/>
    <w:rsid w:val="003870CE"/>
    <w:rsid w:val="00392802"/>
    <w:rsid w:val="00396417"/>
    <w:rsid w:val="003D383C"/>
    <w:rsid w:val="003E236B"/>
    <w:rsid w:val="003E4636"/>
    <w:rsid w:val="003F1603"/>
    <w:rsid w:val="003F5070"/>
    <w:rsid w:val="0040190E"/>
    <w:rsid w:val="0040795B"/>
    <w:rsid w:val="004107E1"/>
    <w:rsid w:val="004131DE"/>
    <w:rsid w:val="00414E5D"/>
    <w:rsid w:val="00421688"/>
    <w:rsid w:val="00437072"/>
    <w:rsid w:val="00437399"/>
    <w:rsid w:val="004408A2"/>
    <w:rsid w:val="004449B6"/>
    <w:rsid w:val="004504A4"/>
    <w:rsid w:val="00464CCD"/>
    <w:rsid w:val="00473D8E"/>
    <w:rsid w:val="00474F6D"/>
    <w:rsid w:val="00491008"/>
    <w:rsid w:val="004A7626"/>
    <w:rsid w:val="004B7A3A"/>
    <w:rsid w:val="004C40AF"/>
    <w:rsid w:val="004D4292"/>
    <w:rsid w:val="004E2C22"/>
    <w:rsid w:val="004F045E"/>
    <w:rsid w:val="004F14A2"/>
    <w:rsid w:val="00500259"/>
    <w:rsid w:val="0050261E"/>
    <w:rsid w:val="00513219"/>
    <w:rsid w:val="0051487F"/>
    <w:rsid w:val="00520378"/>
    <w:rsid w:val="00523446"/>
    <w:rsid w:val="00533155"/>
    <w:rsid w:val="005368E3"/>
    <w:rsid w:val="0056178F"/>
    <w:rsid w:val="005666AB"/>
    <w:rsid w:val="00567FE1"/>
    <w:rsid w:val="00577692"/>
    <w:rsid w:val="00587723"/>
    <w:rsid w:val="0059162E"/>
    <w:rsid w:val="005958A2"/>
    <w:rsid w:val="005A60A7"/>
    <w:rsid w:val="005B0BB7"/>
    <w:rsid w:val="005C105C"/>
    <w:rsid w:val="005C5B5D"/>
    <w:rsid w:val="005D50D1"/>
    <w:rsid w:val="005D7FA0"/>
    <w:rsid w:val="005F0704"/>
    <w:rsid w:val="005F56BF"/>
    <w:rsid w:val="00607EA5"/>
    <w:rsid w:val="006108C0"/>
    <w:rsid w:val="006319E2"/>
    <w:rsid w:val="00642B0C"/>
    <w:rsid w:val="00651DFA"/>
    <w:rsid w:val="00671B99"/>
    <w:rsid w:val="00675BF6"/>
    <w:rsid w:val="00677767"/>
    <w:rsid w:val="00692D7D"/>
    <w:rsid w:val="00694756"/>
    <w:rsid w:val="006B382B"/>
    <w:rsid w:val="006B5D43"/>
    <w:rsid w:val="006C3F59"/>
    <w:rsid w:val="006D555B"/>
    <w:rsid w:val="006E20EC"/>
    <w:rsid w:val="006F0E5A"/>
    <w:rsid w:val="00700C3D"/>
    <w:rsid w:val="007027FC"/>
    <w:rsid w:val="007047B5"/>
    <w:rsid w:val="007064E9"/>
    <w:rsid w:val="00722DC1"/>
    <w:rsid w:val="00727447"/>
    <w:rsid w:val="007329E5"/>
    <w:rsid w:val="0073564A"/>
    <w:rsid w:val="00742BA6"/>
    <w:rsid w:val="00753525"/>
    <w:rsid w:val="007608F3"/>
    <w:rsid w:val="00761864"/>
    <w:rsid w:val="007651A9"/>
    <w:rsid w:val="00771B86"/>
    <w:rsid w:val="00781BFD"/>
    <w:rsid w:val="0078330F"/>
    <w:rsid w:val="00784215"/>
    <w:rsid w:val="00796B72"/>
    <w:rsid w:val="007A5782"/>
    <w:rsid w:val="007A71F3"/>
    <w:rsid w:val="007A7759"/>
    <w:rsid w:val="007B3093"/>
    <w:rsid w:val="007B6F35"/>
    <w:rsid w:val="007C22EC"/>
    <w:rsid w:val="007D4FB0"/>
    <w:rsid w:val="007D5879"/>
    <w:rsid w:val="007D5C5A"/>
    <w:rsid w:val="007E35A4"/>
    <w:rsid w:val="007F159A"/>
    <w:rsid w:val="007F40E0"/>
    <w:rsid w:val="0081311A"/>
    <w:rsid w:val="0081368A"/>
    <w:rsid w:val="00820DE8"/>
    <w:rsid w:val="00823EFC"/>
    <w:rsid w:val="0082528E"/>
    <w:rsid w:val="00837F04"/>
    <w:rsid w:val="00841C84"/>
    <w:rsid w:val="00857A30"/>
    <w:rsid w:val="008722C9"/>
    <w:rsid w:val="008822D1"/>
    <w:rsid w:val="00883640"/>
    <w:rsid w:val="008940F8"/>
    <w:rsid w:val="008A16E4"/>
    <w:rsid w:val="008A4C9E"/>
    <w:rsid w:val="008C0E63"/>
    <w:rsid w:val="008D0EB8"/>
    <w:rsid w:val="008D1150"/>
    <w:rsid w:val="00901E69"/>
    <w:rsid w:val="009054FC"/>
    <w:rsid w:val="00906082"/>
    <w:rsid w:val="009157DF"/>
    <w:rsid w:val="00917681"/>
    <w:rsid w:val="00924507"/>
    <w:rsid w:val="00934D61"/>
    <w:rsid w:val="00947615"/>
    <w:rsid w:val="00960FEB"/>
    <w:rsid w:val="00974500"/>
    <w:rsid w:val="009772B3"/>
    <w:rsid w:val="00981971"/>
    <w:rsid w:val="00983820"/>
    <w:rsid w:val="00986573"/>
    <w:rsid w:val="00987E28"/>
    <w:rsid w:val="009A6D8E"/>
    <w:rsid w:val="009A75A5"/>
    <w:rsid w:val="009B2ACF"/>
    <w:rsid w:val="009B3D99"/>
    <w:rsid w:val="009B4E71"/>
    <w:rsid w:val="009C49B5"/>
    <w:rsid w:val="009C6EDF"/>
    <w:rsid w:val="009C7993"/>
    <w:rsid w:val="009C7BD8"/>
    <w:rsid w:val="009D2393"/>
    <w:rsid w:val="009D3951"/>
    <w:rsid w:val="009E5DC0"/>
    <w:rsid w:val="009E6DE7"/>
    <w:rsid w:val="009F386F"/>
    <w:rsid w:val="009F4A7D"/>
    <w:rsid w:val="00A13E9F"/>
    <w:rsid w:val="00A1453A"/>
    <w:rsid w:val="00A154BE"/>
    <w:rsid w:val="00A203B4"/>
    <w:rsid w:val="00A252D0"/>
    <w:rsid w:val="00A25AE2"/>
    <w:rsid w:val="00A25C83"/>
    <w:rsid w:val="00A326B6"/>
    <w:rsid w:val="00A36FA5"/>
    <w:rsid w:val="00A402D9"/>
    <w:rsid w:val="00A43B7D"/>
    <w:rsid w:val="00A56416"/>
    <w:rsid w:val="00A67582"/>
    <w:rsid w:val="00A9502E"/>
    <w:rsid w:val="00AB1178"/>
    <w:rsid w:val="00AB3B45"/>
    <w:rsid w:val="00AB684D"/>
    <w:rsid w:val="00AC22BB"/>
    <w:rsid w:val="00AE37DF"/>
    <w:rsid w:val="00AE5B9A"/>
    <w:rsid w:val="00AE71BA"/>
    <w:rsid w:val="00B05D00"/>
    <w:rsid w:val="00B11E98"/>
    <w:rsid w:val="00B201E3"/>
    <w:rsid w:val="00B208C7"/>
    <w:rsid w:val="00B34DFF"/>
    <w:rsid w:val="00B36452"/>
    <w:rsid w:val="00B403C5"/>
    <w:rsid w:val="00B40C4D"/>
    <w:rsid w:val="00B468B7"/>
    <w:rsid w:val="00B4696C"/>
    <w:rsid w:val="00B60A2C"/>
    <w:rsid w:val="00B63048"/>
    <w:rsid w:val="00B657B6"/>
    <w:rsid w:val="00B81FD7"/>
    <w:rsid w:val="00B865E8"/>
    <w:rsid w:val="00B903C3"/>
    <w:rsid w:val="00B9287D"/>
    <w:rsid w:val="00B95C7B"/>
    <w:rsid w:val="00BB5FC9"/>
    <w:rsid w:val="00BC686C"/>
    <w:rsid w:val="00BE21A1"/>
    <w:rsid w:val="00BF7273"/>
    <w:rsid w:val="00C060A3"/>
    <w:rsid w:val="00C101E4"/>
    <w:rsid w:val="00C174A5"/>
    <w:rsid w:val="00C17C10"/>
    <w:rsid w:val="00C26065"/>
    <w:rsid w:val="00C4049A"/>
    <w:rsid w:val="00C460E8"/>
    <w:rsid w:val="00C557FB"/>
    <w:rsid w:val="00C5651B"/>
    <w:rsid w:val="00C57D61"/>
    <w:rsid w:val="00C72CF6"/>
    <w:rsid w:val="00C774F1"/>
    <w:rsid w:val="00C8150C"/>
    <w:rsid w:val="00C91D6E"/>
    <w:rsid w:val="00C95045"/>
    <w:rsid w:val="00CA2053"/>
    <w:rsid w:val="00CB67F2"/>
    <w:rsid w:val="00CD1ED8"/>
    <w:rsid w:val="00CD4ED3"/>
    <w:rsid w:val="00CD518D"/>
    <w:rsid w:val="00CE72B0"/>
    <w:rsid w:val="00CF0145"/>
    <w:rsid w:val="00CF0D56"/>
    <w:rsid w:val="00CF34C0"/>
    <w:rsid w:val="00D14A10"/>
    <w:rsid w:val="00D2744C"/>
    <w:rsid w:val="00D305B5"/>
    <w:rsid w:val="00D40467"/>
    <w:rsid w:val="00D46E54"/>
    <w:rsid w:val="00D531B5"/>
    <w:rsid w:val="00D67EE3"/>
    <w:rsid w:val="00D724D2"/>
    <w:rsid w:val="00D756B4"/>
    <w:rsid w:val="00D81DCA"/>
    <w:rsid w:val="00D93292"/>
    <w:rsid w:val="00D93CE4"/>
    <w:rsid w:val="00DA1E0F"/>
    <w:rsid w:val="00DA5AB0"/>
    <w:rsid w:val="00DB343A"/>
    <w:rsid w:val="00DB6449"/>
    <w:rsid w:val="00DC553D"/>
    <w:rsid w:val="00DD01FE"/>
    <w:rsid w:val="00DD15EB"/>
    <w:rsid w:val="00DF4307"/>
    <w:rsid w:val="00E00C8B"/>
    <w:rsid w:val="00E14A99"/>
    <w:rsid w:val="00E224AA"/>
    <w:rsid w:val="00E225A4"/>
    <w:rsid w:val="00E269F5"/>
    <w:rsid w:val="00E275AD"/>
    <w:rsid w:val="00E31893"/>
    <w:rsid w:val="00E46A0C"/>
    <w:rsid w:val="00E549AD"/>
    <w:rsid w:val="00E65166"/>
    <w:rsid w:val="00E77D4B"/>
    <w:rsid w:val="00E82E31"/>
    <w:rsid w:val="00E85C06"/>
    <w:rsid w:val="00EA28BE"/>
    <w:rsid w:val="00EA5B9F"/>
    <w:rsid w:val="00EB7065"/>
    <w:rsid w:val="00EC0772"/>
    <w:rsid w:val="00ED0730"/>
    <w:rsid w:val="00ED3B66"/>
    <w:rsid w:val="00ED6AAB"/>
    <w:rsid w:val="00EE20EB"/>
    <w:rsid w:val="00EE417A"/>
    <w:rsid w:val="00EE784A"/>
    <w:rsid w:val="00EF2EA4"/>
    <w:rsid w:val="00EF5714"/>
    <w:rsid w:val="00EF6D2E"/>
    <w:rsid w:val="00EF75F3"/>
    <w:rsid w:val="00F0162F"/>
    <w:rsid w:val="00F04B2F"/>
    <w:rsid w:val="00F14771"/>
    <w:rsid w:val="00F22C80"/>
    <w:rsid w:val="00F30A01"/>
    <w:rsid w:val="00F42356"/>
    <w:rsid w:val="00F507A6"/>
    <w:rsid w:val="00F57112"/>
    <w:rsid w:val="00F673EB"/>
    <w:rsid w:val="00F73806"/>
    <w:rsid w:val="00F7474D"/>
    <w:rsid w:val="00F75313"/>
    <w:rsid w:val="00F75EA8"/>
    <w:rsid w:val="00F81EAD"/>
    <w:rsid w:val="00F93CA7"/>
    <w:rsid w:val="00F93DE9"/>
    <w:rsid w:val="00FA32C1"/>
    <w:rsid w:val="00FA5983"/>
    <w:rsid w:val="00FA5B27"/>
    <w:rsid w:val="00FC2961"/>
    <w:rsid w:val="00FC34F9"/>
    <w:rsid w:val="00FC71F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EF77E"/>
  <w15:chartTrackingRefBased/>
  <w15:docId w15:val="{C3E6729A-3B69-4FD5-8010-3C93F2FE7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sletter Sans SC" w:hAnsi="Newsletter Sans SC" w:cstheme="majorBidi" w:eastAsia="Newsletter Sans SC" w:cs="Newsletter Sans SC"/>
        <w:lang w:val="en-GB" w:eastAsia="zh-CN" w:bidi="ar-SA"/>
      </w:rPr>
    </w:rPrDefault>
    <w:pPrDefault>
      <w:pPr>
        <w:spacing w:before="120"/>
        <w:ind w:left="709" w:hanging="709"/>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72CF6"/>
    <w:pPr>
      <w:ind w:left="0" w:firstLine="0"/>
    </w:pPr>
    <w:rPr>
      <w:rFonts w:cs="Newsletter Sans SC" w:ascii="Newsletter Sans SC" w:hAnsi="Newsletter Sans SC" w:eastAsia="Newsletter Sans SC"/>
      <w:color w:val="222222"/>
      <w:sz w:val="21"/>
      <w:szCs w:val="24"/>
      <w:lang w:eastAsia="fr-FR"/>
    </w:rPr>
  </w:style>
  <w:style w:type="paragraph" w:styleId="1">
    <w:name w:val="heading 1"/>
    <w:basedOn w:val="a"/>
    <w:next w:val="a"/>
    <w:link w:val="10"/>
    <w:uiPriority w:val="9"/>
    <w:qFormat/>
    <w:rsid w:val="00B403C5"/>
    <w:pPr>
      <w:keepNext/>
      <w:numPr>
        <w:numId w:val="23"/>
      </w:numPr>
      <w:spacing w:before="360" w:after="120"/>
      <w:outlineLvl w:val="0"/>
    </w:pPr>
    <w:rPr>
      <w:rFonts w:cs="Newsletter Sans SC" w:ascii="Newsletter Sans SC" w:hAnsi="Newsletter Sans SC" w:eastAsia="Newsletter Sans SC"/>
      <w:b/>
      <w:caps/>
      <w:color w:val="FF6600"/>
      <w:spacing w:val="20"/>
    </w:rPr>
  </w:style>
  <w:style w:type="paragraph" w:styleId="2">
    <w:name w:val="heading 2"/>
    <w:basedOn w:val="a"/>
    <w:next w:val="a"/>
    <w:link w:val="20"/>
    <w:uiPriority w:val="9"/>
    <w:qFormat/>
    <w:rsid w:val="00B403C5"/>
    <w:pPr>
      <w:numPr>
        <w:ilvl w:val="1"/>
        <w:numId w:val="23"/>
      </w:numPr>
      <w:pBdr>
        <w:bottom w:val="single" w:sz="4" w:space="1" w:color="FF6600"/>
      </w:pBdr>
      <w:spacing w:before="240"/>
      <w:outlineLvl w:val="1"/>
    </w:pPr>
    <w:rPr>
      <w:rFonts w:cs="Newsletter Sans SC" w:ascii="Newsletter Sans SC" w:hAnsi="Newsletter Sans SC" w:eastAsia="Newsletter Sans SC"/>
      <w:b/>
      <w:iCs/>
      <w:smallCaps/>
      <w:color w:val="363636"/>
      <w:spacing w:val="15"/>
      <w:kern w:val="32"/>
      <w:sz w:val="22"/>
    </w:rPr>
  </w:style>
  <w:style w:type="paragraph" w:styleId="3">
    <w:name w:val="heading 3"/>
    <w:basedOn w:val="a"/>
    <w:next w:val="a"/>
    <w:link w:val="30"/>
    <w:uiPriority w:val="9"/>
    <w:qFormat/>
    <w:rsid w:val="00B403C5"/>
    <w:pPr>
      <w:keepNext/>
      <w:numPr>
        <w:ilvl w:val="2"/>
        <w:numId w:val="23"/>
      </w:numPr>
      <w:spacing w:before="240" w:after="60"/>
      <w:outlineLvl w:val="2"/>
    </w:pPr>
    <w:rPr>
      <w:rFonts w:cs="Newsletter Sans SC" w:ascii="Newsletter Sans SC" w:hAnsi="Newsletter Sans SC" w:eastAsia="Newsletter Sans SC"/>
      <w:b/>
      <w:bCs/>
      <w:smallCaps/>
      <w:color w:val="FF6600"/>
    </w:rPr>
  </w:style>
  <w:style w:type="paragraph" w:styleId="4">
    <w:name w:val="heading 4"/>
    <w:basedOn w:val="a"/>
    <w:next w:val="a"/>
    <w:link w:val="40"/>
    <w:uiPriority w:val="9"/>
    <w:qFormat/>
    <w:rsid w:val="00B403C5"/>
    <w:pPr>
      <w:keepNext/>
      <w:numPr>
        <w:ilvl w:val="3"/>
        <w:numId w:val="23"/>
      </w:numPr>
      <w:outlineLvl w:val="3"/>
    </w:pPr>
    <w:rPr>
      <w:rFonts w:cstheme="majorBidi" w:ascii="Newsletter Sans SC" w:hAnsi="Newsletter Sans SC" w:eastAsia="Newsletter Sans SC" w:cs="Newsletter Sans SC"/>
      <w:bCs/>
      <w:sz w:val="18"/>
      <w:szCs w:val="28"/>
      <w:lang w:eastAsia="en-US" w:bidi="en-US"/>
    </w:rPr>
  </w:style>
  <w:style w:type="paragraph" w:styleId="5">
    <w:name w:val="heading 5"/>
    <w:basedOn w:val="a"/>
    <w:next w:val="a"/>
    <w:link w:val="50"/>
    <w:uiPriority w:val="9"/>
    <w:qFormat/>
    <w:rsid w:val="00B403C5"/>
    <w:pPr>
      <w:keepNext/>
      <w:keepLines/>
      <w:numPr>
        <w:ilvl w:val="4"/>
        <w:numId w:val="23"/>
      </w:numPr>
      <w:outlineLvl w:val="4"/>
    </w:pPr>
    <w:rPr>
      <w:sz w:val="18"/>
      <w:szCs w:val="22"/>
    </w:rPr>
  </w:style>
  <w:style w:type="paragraph" w:styleId="6">
    <w:name w:val="heading 6"/>
    <w:basedOn w:val="a"/>
    <w:next w:val="a"/>
    <w:link w:val="60"/>
    <w:uiPriority w:val="9"/>
    <w:qFormat/>
    <w:rsid w:val="00B403C5"/>
    <w:pPr>
      <w:numPr>
        <w:ilvl w:val="5"/>
        <w:numId w:val="23"/>
      </w:numPr>
      <w:spacing w:before="240" w:after="60"/>
      <w:outlineLvl w:val="5"/>
    </w:pPr>
    <w:rPr>
      <w:bCs/>
      <w:sz w:val="18"/>
    </w:rPr>
  </w:style>
  <w:style w:type="paragraph" w:styleId="7">
    <w:name w:val="heading 7"/>
    <w:basedOn w:val="a"/>
    <w:next w:val="a"/>
    <w:link w:val="70"/>
    <w:uiPriority w:val="9"/>
    <w:qFormat/>
    <w:rsid w:val="00B403C5"/>
    <w:pPr>
      <w:numPr>
        <w:ilvl w:val="6"/>
        <w:numId w:val="23"/>
      </w:numPr>
      <w:spacing w:before="240" w:after="60"/>
      <w:outlineLvl w:val="6"/>
    </w:pPr>
    <w:rPr>
      <w:sz w:val="18"/>
    </w:rPr>
  </w:style>
  <w:style w:type="paragraph" w:styleId="8">
    <w:name w:val="heading 8"/>
    <w:basedOn w:val="a"/>
    <w:next w:val="a"/>
    <w:link w:val="80"/>
    <w:uiPriority w:val="9"/>
    <w:qFormat/>
    <w:rsid w:val="00B403C5"/>
    <w:pPr>
      <w:numPr>
        <w:ilvl w:val="7"/>
        <w:numId w:val="23"/>
      </w:numPr>
      <w:spacing w:before="240" w:after="60"/>
      <w:outlineLvl w:val="7"/>
    </w:pPr>
    <w:rPr>
      <w:iCs/>
      <w:sz w:val="18"/>
    </w:rPr>
  </w:style>
  <w:style w:type="paragraph" w:styleId="9">
    <w:name w:val="heading 9"/>
    <w:basedOn w:val="a"/>
    <w:next w:val="a"/>
    <w:link w:val="90"/>
    <w:uiPriority w:val="9"/>
    <w:qFormat/>
    <w:rsid w:val="00B403C5"/>
    <w:pPr>
      <w:numPr>
        <w:ilvl w:val="8"/>
        <w:numId w:val="23"/>
      </w:numPr>
      <w:spacing w:before="240" w:after="60"/>
      <w:outlineLvl w:val="8"/>
    </w:pPr>
    <w:rPr>
      <w:sz w:val="1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03C5"/>
    <w:rPr>
      <w:rFonts w:cs="Newsletter Sans SC" w:ascii="Newsletter Sans SC" w:hAnsi="Newsletter Sans SC" w:eastAsia="Newsletter Sans SC"/>
      <w:b/>
      <w:caps/>
      <w:color w:val="FF6600"/>
      <w:spacing w:val="20"/>
      <w:szCs w:val="24"/>
      <w:lang w:eastAsia="fr-FR"/>
    </w:rPr>
  </w:style>
  <w:style w:type="character" w:customStyle="1" w:styleId="20">
    <w:name w:val="标题 2 字符"/>
    <w:basedOn w:val="a0"/>
    <w:link w:val="2"/>
    <w:uiPriority w:val="9"/>
    <w:rsid w:val="00051572"/>
    <w:rPr>
      <w:rFonts w:cs="Newsletter Sans SC" w:ascii="Newsletter Sans SC" w:hAnsi="Newsletter Sans SC" w:eastAsia="Newsletter Sans SC"/>
      <w:b/>
      <w:iCs/>
      <w:smallCaps/>
      <w:color w:val="363636"/>
      <w:spacing w:val="15"/>
      <w:kern w:val="32"/>
      <w:sz w:val="22"/>
      <w:szCs w:val="24"/>
      <w:lang w:eastAsia="fr-FR"/>
    </w:rPr>
  </w:style>
  <w:style w:type="character" w:customStyle="1" w:styleId="30">
    <w:name w:val="标题 3 字符"/>
    <w:basedOn w:val="a0"/>
    <w:link w:val="3"/>
    <w:uiPriority w:val="9"/>
    <w:rsid w:val="00051572"/>
    <w:rPr>
      <w:rFonts w:cs="Newsletter Sans SC" w:ascii="Newsletter Sans SC" w:hAnsi="Newsletter Sans SC" w:eastAsia="Newsletter Sans SC"/>
      <w:b/>
      <w:bCs/>
      <w:smallCaps/>
      <w:color w:val="FF6600"/>
      <w:szCs w:val="24"/>
      <w:lang w:eastAsia="fr-FR"/>
    </w:rPr>
  </w:style>
  <w:style w:type="character" w:customStyle="1" w:styleId="40">
    <w:name w:val="标题 4 字符"/>
    <w:basedOn w:val="a0"/>
    <w:link w:val="4"/>
    <w:uiPriority w:val="9"/>
    <w:rsid w:val="00051572"/>
    <w:rPr>
      <w:rFonts w:ascii="Newsletter Sans SC" w:hAnsi="Newsletter Sans SC" w:eastAsia="Newsletter Sans SC" w:cs="Newsletter Sans SC"/>
      <w:bCs/>
      <w:sz w:val="18"/>
      <w:szCs w:val="28"/>
      <w:lang w:bidi="en-US"/>
    </w:rPr>
  </w:style>
  <w:style w:type="character" w:customStyle="1" w:styleId="50">
    <w:name w:val="标题 5 字符"/>
    <w:basedOn w:val="a0"/>
    <w:link w:val="5"/>
    <w:uiPriority w:val="9"/>
    <w:rsid w:val="00051572"/>
    <w:rPr>
      <w:rFonts w:cs="Newsletter Sans SC" w:ascii="Newsletter Sans SC" w:hAnsi="Newsletter Sans SC" w:eastAsia="Newsletter Sans SC"/>
      <w:sz w:val="18"/>
      <w:szCs w:val="22"/>
      <w:lang w:eastAsia="fr-FR"/>
    </w:rPr>
  </w:style>
  <w:style w:type="character" w:customStyle="1" w:styleId="60">
    <w:name w:val="标题 6 字符"/>
    <w:basedOn w:val="a0"/>
    <w:link w:val="6"/>
    <w:uiPriority w:val="9"/>
    <w:rsid w:val="00051572"/>
    <w:rPr>
      <w:rFonts w:cs="Newsletter Sans SC" w:ascii="Newsletter Sans SC" w:hAnsi="Newsletter Sans SC" w:eastAsia="Newsletter Sans SC"/>
      <w:bCs/>
      <w:sz w:val="18"/>
      <w:szCs w:val="24"/>
      <w:lang w:eastAsia="fr-FR"/>
    </w:rPr>
  </w:style>
  <w:style w:type="character" w:customStyle="1" w:styleId="70">
    <w:name w:val="标题 7 字符"/>
    <w:basedOn w:val="a0"/>
    <w:link w:val="7"/>
    <w:uiPriority w:val="9"/>
    <w:rsid w:val="00051572"/>
    <w:rPr>
      <w:rFonts w:cs="Newsletter Sans SC" w:ascii="Newsletter Sans SC" w:hAnsi="Newsletter Sans SC" w:eastAsia="Newsletter Sans SC"/>
      <w:sz w:val="18"/>
      <w:szCs w:val="24"/>
      <w:lang w:eastAsia="fr-FR"/>
    </w:rPr>
  </w:style>
  <w:style w:type="character" w:customStyle="1" w:styleId="80">
    <w:name w:val="标题 8 字符"/>
    <w:basedOn w:val="a0"/>
    <w:link w:val="8"/>
    <w:uiPriority w:val="9"/>
    <w:rsid w:val="00051572"/>
    <w:rPr>
      <w:rFonts w:cs="Newsletter Sans SC" w:ascii="Newsletter Sans SC" w:hAnsi="Newsletter Sans SC" w:eastAsia="Newsletter Sans SC"/>
      <w:iCs/>
      <w:sz w:val="18"/>
      <w:szCs w:val="24"/>
      <w:lang w:eastAsia="fr-FR"/>
    </w:rPr>
  </w:style>
  <w:style w:type="character" w:customStyle="1" w:styleId="90">
    <w:name w:val="标题 9 字符"/>
    <w:basedOn w:val="a0"/>
    <w:link w:val="9"/>
    <w:uiPriority w:val="9"/>
    <w:rsid w:val="00051572"/>
    <w:rPr>
      <w:rFonts w:cs="Newsletter Sans SC" w:ascii="Newsletter Sans SC" w:hAnsi="Newsletter Sans SC" w:eastAsia="Newsletter Sans SC"/>
      <w:sz w:val="18"/>
      <w:szCs w:val="24"/>
      <w:lang w:eastAsia="fr-FR"/>
    </w:rPr>
  </w:style>
  <w:style w:type="paragraph" w:styleId="a3">
    <w:name w:val="footer"/>
    <w:basedOn w:val="a"/>
    <w:link w:val="a4"/>
    <w:uiPriority w:val="99"/>
    <w:qFormat/>
    <w:rsid w:val="00051572"/>
    <w:pPr>
      <w:tabs>
        <w:tab w:val="center" w:pos="4513"/>
        <w:tab w:val="right" w:pos="9026"/>
      </w:tabs>
    </w:pPr>
    <w:rPr>
      <w:rFonts w:cstheme="majorBidi" w:ascii="Newsletter Sans SC" w:hAnsi="Newsletter Sans SC" w:eastAsia="Newsletter Sans SC" w:cs="Newsletter Sans SC"/>
      <w:sz w:val="16"/>
      <w:szCs w:val="20"/>
      <w:lang w:eastAsia="en-US" w:bidi="en-US"/>
    </w:rPr>
  </w:style>
  <w:style w:type="character" w:customStyle="1" w:styleId="a4">
    <w:name w:val="页脚 字符"/>
    <w:basedOn w:val="a0"/>
    <w:link w:val="a3"/>
    <w:uiPriority w:val="99"/>
    <w:rsid w:val="00051572"/>
    <w:rPr>
      <w:rFonts w:ascii="Newsletter Sans SC" w:hAnsi="Newsletter Sans SC" w:eastAsia="Newsletter Sans SC" w:cs="Newsletter Sans SC"/>
      <w:sz w:val="16"/>
      <w:lang w:bidi="en-US"/>
    </w:rPr>
  </w:style>
  <w:style w:type="paragraph" w:styleId="a5">
    <w:name w:val="Title"/>
    <w:basedOn w:val="a"/>
    <w:next w:val="a"/>
    <w:link w:val="a6"/>
    <w:uiPriority w:val="10"/>
    <w:qFormat/>
    <w:rsid w:val="00051572"/>
    <w:pPr>
      <w:spacing w:before="240" w:after="60"/>
      <w:jc w:val="center"/>
      <w:outlineLvl w:val="0"/>
    </w:pPr>
    <w:rPr>
      <w:rFonts w:cstheme="majorBidi" w:ascii="Newsletter Sans SC" w:hAnsi="Newsletter Sans SC" w:eastAsia="Newsletter Sans SC" w:cs="Newsletter Sans SC"/>
      <w:b/>
      <w:bCs/>
      <w:kern w:val="28"/>
      <w:szCs w:val="32"/>
      <w:u w:val="single"/>
      <w:lang w:eastAsia="en-US" w:bidi="en-US"/>
    </w:rPr>
  </w:style>
  <w:style w:type="character" w:customStyle="1" w:styleId="a6">
    <w:name w:val="标题 字符"/>
    <w:basedOn w:val="a0"/>
    <w:link w:val="a5"/>
    <w:uiPriority w:val="10"/>
    <w:rsid w:val="00051572"/>
    <w:rPr>
      <w:rFonts w:ascii="Newsletter Sans SC" w:hAnsi="Newsletter Sans SC" w:eastAsia="Newsletter Sans SC" w:cs="Newsletter Sans SC"/>
      <w:b/>
      <w:bCs/>
      <w:kern w:val="28"/>
      <w:szCs w:val="32"/>
      <w:u w:val="single"/>
      <w:lang w:bidi="en-US"/>
    </w:rPr>
  </w:style>
  <w:style w:type="paragraph" w:styleId="a7">
    <w:name w:val="Subtitle"/>
    <w:basedOn w:val="a"/>
    <w:next w:val="a"/>
    <w:link w:val="a8"/>
    <w:uiPriority w:val="11"/>
    <w:qFormat/>
    <w:rsid w:val="00051572"/>
    <w:pPr>
      <w:spacing w:after="60"/>
      <w:jc w:val="center"/>
      <w:outlineLvl w:val="1"/>
    </w:pPr>
    <w:rPr>
      <w:rFonts w:cstheme="majorBidi" w:ascii="Newsletter Sans SC" w:hAnsi="Newsletter Sans SC" w:eastAsia="Newsletter Sans SC" w:cs="Newsletter Sans SC"/>
      <w:szCs w:val="20"/>
      <w:lang w:eastAsia="en-US" w:bidi="en-US"/>
    </w:rPr>
  </w:style>
  <w:style w:type="character" w:customStyle="1" w:styleId="a8">
    <w:name w:val="副标题 字符"/>
    <w:basedOn w:val="a0"/>
    <w:link w:val="a7"/>
    <w:uiPriority w:val="11"/>
    <w:rsid w:val="00051572"/>
    <w:rPr>
      <w:rFonts w:ascii="Newsletter Sans SC" w:hAnsi="Newsletter Sans SC" w:eastAsia="Newsletter Sans SC" w:cs="Newsletter Sans SC"/>
      <w:lang w:bidi="en-US"/>
    </w:rPr>
  </w:style>
  <w:style w:type="character" w:styleId="a9">
    <w:name w:val="Hyperlink"/>
    <w:basedOn w:val="a0"/>
    <w:uiPriority w:val="99"/>
    <w:qFormat/>
    <w:rsid w:val="00051572"/>
    <w:rPr>
      <w:rFonts w:ascii="Newsletter Sans SC" w:hAnsi="Newsletter Sans SC" w:eastAsia="Newsletter Sans SC" w:cs="Newsletter Sans SC"/>
      <w:color w:val="FF6600"/>
      <w:sz w:val="20"/>
      <w:u w:val="single"/>
    </w:rPr>
  </w:style>
  <w:style w:type="character" w:styleId="aa">
    <w:name w:val="FollowedHyperlink"/>
    <w:basedOn w:val="a0"/>
    <w:uiPriority w:val="99"/>
    <w:qFormat/>
    <w:rsid w:val="00051572"/>
    <w:rPr>
      <w:rFonts w:ascii="Newsletter Sans SC" w:hAnsi="Newsletter Sans SC" w:eastAsia="Newsletter Sans SC" w:cs="Newsletter Sans SC"/>
      <w:i/>
      <w:color w:val="363636"/>
      <w:sz w:val="20"/>
      <w:u w:val="single"/>
    </w:rPr>
  </w:style>
  <w:style w:type="character" w:styleId="ab">
    <w:name w:val="Strong"/>
    <w:basedOn w:val="a0"/>
    <w:uiPriority w:val="22"/>
    <w:qFormat/>
    <w:rsid w:val="00051572"/>
    <w:rPr>
      <w:b/>
      <w:bCs/>
    </w:rPr>
  </w:style>
  <w:style w:type="character" w:styleId="ac">
    <w:name w:val="Emphasis"/>
    <w:basedOn w:val="a0"/>
    <w:uiPriority w:val="20"/>
    <w:qFormat/>
    <w:rsid w:val="00051572"/>
    <w:rPr>
      <w:rFonts w:ascii="Newsletter Sans SC" w:hAnsi="Newsletter Sans SC" w:eastAsia="Newsletter Sans SC" w:cs="Newsletter Sans SC"/>
      <w:b/>
      <w:i/>
      <w:iCs/>
    </w:rPr>
  </w:style>
  <w:style w:type="paragraph" w:styleId="ad">
    <w:name w:val="No Spacing"/>
    <w:basedOn w:val="a"/>
    <w:link w:val="ae"/>
    <w:uiPriority w:val="1"/>
    <w:qFormat/>
    <w:rsid w:val="00051572"/>
    <w:rPr>
      <w:rFonts w:cstheme="majorBidi" w:ascii="Newsletter Sans SC" w:hAnsi="Newsletter Sans SC" w:eastAsia="Newsletter Sans SC" w:cs="Newsletter Sans SC"/>
      <w:szCs w:val="32"/>
      <w:lang w:eastAsia="en-US" w:bidi="en-US"/>
    </w:rPr>
  </w:style>
  <w:style w:type="character" w:customStyle="1" w:styleId="ae">
    <w:name w:val="无间隔 字符"/>
    <w:basedOn w:val="a0"/>
    <w:link w:val="ad"/>
    <w:uiPriority w:val="1"/>
    <w:rsid w:val="00051572"/>
    <w:rPr>
      <w:rFonts w:ascii="Newsletter Sans SC" w:hAnsi="Newsletter Sans SC" w:eastAsia="Newsletter Sans SC" w:cs="Newsletter Sans SC"/>
      <w:szCs w:val="32"/>
      <w:lang w:bidi="en-US"/>
    </w:rPr>
  </w:style>
  <w:style w:type="paragraph" w:styleId="af">
    <w:name w:val="List Paragraph"/>
    <w:basedOn w:val="a"/>
    <w:uiPriority w:val="34"/>
    <w:qFormat/>
    <w:rsid w:val="00051572"/>
    <w:pPr>
      <w:ind w:left="720"/>
      <w:contextualSpacing/>
    </w:pPr>
  </w:style>
  <w:style w:type="paragraph" w:styleId="af0">
    <w:name w:val="Quote"/>
    <w:basedOn w:val="a"/>
    <w:next w:val="a"/>
    <w:link w:val="af1"/>
    <w:uiPriority w:val="29"/>
    <w:qFormat/>
    <w:rsid w:val="00051572"/>
    <w:rPr>
      <w:rFonts w:cstheme="majorBidi" w:ascii="Newsletter Sans SC" w:hAnsi="Newsletter Sans SC" w:eastAsia="Newsletter Sans SC" w:cs="Newsletter Sans SC"/>
      <w:i/>
      <w:szCs w:val="20"/>
      <w:lang w:eastAsia="en-US" w:bidi="en-US"/>
    </w:rPr>
  </w:style>
  <w:style w:type="character" w:customStyle="1" w:styleId="af1">
    <w:name w:val="引用 字符"/>
    <w:basedOn w:val="a0"/>
    <w:link w:val="af0"/>
    <w:uiPriority w:val="29"/>
    <w:rsid w:val="00051572"/>
    <w:rPr>
      <w:rFonts w:ascii="Newsletter Sans SC" w:hAnsi="Newsletter Sans SC" w:eastAsia="Newsletter Sans SC" w:cs="Newsletter Sans SC"/>
      <w:i/>
      <w:lang w:bidi="en-US"/>
    </w:rPr>
  </w:style>
  <w:style w:type="paragraph" w:styleId="af2">
    <w:name w:val="Intense Quote"/>
    <w:basedOn w:val="a"/>
    <w:next w:val="a"/>
    <w:link w:val="af3"/>
    <w:uiPriority w:val="30"/>
    <w:qFormat/>
    <w:rsid w:val="00051572"/>
    <w:pPr>
      <w:ind w:left="720" w:right="720"/>
    </w:pPr>
    <w:rPr>
      <w:rFonts w:cstheme="majorBidi" w:ascii="Newsletter Sans SC" w:hAnsi="Newsletter Sans SC" w:eastAsia="Newsletter Sans SC" w:cs="Newsletter Sans SC"/>
      <w:b/>
      <w:i/>
      <w:szCs w:val="20"/>
      <w:lang w:eastAsia="en-US" w:bidi="en-US"/>
    </w:rPr>
  </w:style>
  <w:style w:type="character" w:customStyle="1" w:styleId="af3">
    <w:name w:val="明显引用 字符"/>
    <w:basedOn w:val="a0"/>
    <w:link w:val="af2"/>
    <w:uiPriority w:val="30"/>
    <w:rsid w:val="00051572"/>
    <w:rPr>
      <w:rFonts w:ascii="Newsletter Sans SC" w:hAnsi="Newsletter Sans SC" w:eastAsia="Newsletter Sans SC" w:cs="Newsletter Sans SC"/>
      <w:b/>
      <w:i/>
      <w:lang w:bidi="en-US"/>
    </w:rPr>
  </w:style>
  <w:style w:type="character" w:styleId="af4">
    <w:name w:val="Subtle Emphasis"/>
    <w:uiPriority w:val="19"/>
    <w:qFormat/>
    <w:rsid w:val="00051572"/>
    <w:rPr>
      <w:i/>
      <w:color w:val="5A5A5A" w:themeColor="text1" w:themeTint="A5"/>
    </w:rPr>
  </w:style>
  <w:style w:type="character" w:styleId="af5">
    <w:name w:val="Intense Emphasis"/>
    <w:basedOn w:val="a0"/>
    <w:uiPriority w:val="21"/>
    <w:qFormat/>
    <w:rsid w:val="00051572"/>
    <w:rPr>
      <w:b/>
      <w:i/>
      <w:sz w:val="24"/>
      <w:szCs w:val="24"/>
      <w:u w:val="single"/>
    </w:rPr>
  </w:style>
  <w:style w:type="character" w:styleId="af6">
    <w:name w:val="Subtle Reference"/>
    <w:basedOn w:val="a0"/>
    <w:uiPriority w:val="31"/>
    <w:qFormat/>
    <w:rsid w:val="00051572"/>
    <w:rPr>
      <w:sz w:val="24"/>
      <w:szCs w:val="24"/>
      <w:u w:val="single"/>
    </w:rPr>
  </w:style>
  <w:style w:type="character" w:styleId="af7">
    <w:name w:val="Intense Reference"/>
    <w:basedOn w:val="a0"/>
    <w:uiPriority w:val="32"/>
    <w:qFormat/>
    <w:rsid w:val="00051572"/>
    <w:rPr>
      <w:b/>
      <w:sz w:val="24"/>
      <w:u w:val="single"/>
    </w:rPr>
  </w:style>
  <w:style w:type="character" w:styleId="af8">
    <w:name w:val="Book Title"/>
    <w:basedOn w:val="a0"/>
    <w:uiPriority w:val="33"/>
    <w:qFormat/>
    <w:rsid w:val="00051572"/>
    <w:rPr>
      <w:rFonts w:ascii="Newsletter Sans SC" w:hAnsi="Newsletter Sans SC" w:eastAsia="Newsletter Sans SC" w:cs="Newsletter Sans SC"/>
      <w:b/>
      <w:i/>
      <w:sz w:val="24"/>
      <w:szCs w:val="24"/>
    </w:rPr>
  </w:style>
  <w:style w:type="paragraph" w:styleId="TOC">
    <w:name w:val="TOC Heading"/>
    <w:basedOn w:val="1"/>
    <w:next w:val="a"/>
    <w:uiPriority w:val="39"/>
    <w:qFormat/>
    <w:rsid w:val="00051572"/>
    <w:pPr>
      <w:numPr>
        <w:numId w:val="0"/>
      </w:numPr>
      <w:outlineLvl w:val="9"/>
    </w:pPr>
  </w:style>
  <w:style w:type="paragraph" w:customStyle="1" w:styleId="List1">
    <w:name w:val="List 1"/>
    <w:basedOn w:val="a"/>
    <w:link w:val="List1Char"/>
    <w:uiPriority w:val="99"/>
    <w:qFormat/>
    <w:rsid w:val="00051572"/>
    <w:pPr>
      <w:numPr>
        <w:numId w:val="18"/>
      </w:numPr>
      <w:spacing w:before="60"/>
    </w:pPr>
    <w:rPr>
      <w:rFonts w:cstheme="majorBidi" w:ascii="Newsletter Sans SC" w:hAnsi="Newsletter Sans SC" w:eastAsia="Newsletter Sans SC" w:cs="Newsletter Sans SC"/>
      <w:szCs w:val="20"/>
      <w:lang w:eastAsia="en-US" w:bidi="en-US"/>
    </w:rPr>
  </w:style>
  <w:style w:type="character" w:customStyle="1" w:styleId="List1Char">
    <w:name w:val="List 1 Char"/>
    <w:basedOn w:val="a0"/>
    <w:link w:val="List1"/>
    <w:uiPriority w:val="99"/>
    <w:rsid w:val="00051572"/>
    <w:rPr>
      <w:rFonts w:ascii="Newsletter Sans SC" w:hAnsi="Newsletter Sans SC" w:eastAsia="Newsletter Sans SC" w:cs="Newsletter Sans SC"/>
      <w:lang w:bidi="en-US"/>
    </w:rPr>
  </w:style>
  <w:style w:type="paragraph" w:customStyle="1" w:styleId="Highlight">
    <w:name w:val="Highlight"/>
    <w:basedOn w:val="a"/>
    <w:uiPriority w:val="99"/>
    <w:qFormat/>
    <w:rsid w:val="00051572"/>
    <w:rPr>
      <w:color w:val="BF0000" w:themeColor="accent6" w:themeShade="BF"/>
    </w:rPr>
  </w:style>
  <w:style w:type="paragraph" w:customStyle="1" w:styleId="Numbered1">
    <w:name w:val="Numbered 1"/>
    <w:basedOn w:val="a"/>
    <w:rsid w:val="00051572"/>
    <w:pPr>
      <w:numPr>
        <w:numId w:val="19"/>
      </w:numPr>
      <w:spacing w:before="60"/>
    </w:pPr>
  </w:style>
  <w:style w:type="paragraph" w:customStyle="1" w:styleId="List2">
    <w:name w:val="List2"/>
    <w:basedOn w:val="List1"/>
    <w:uiPriority w:val="99"/>
    <w:qFormat/>
    <w:rsid w:val="00051572"/>
    <w:pPr>
      <w:numPr>
        <w:numId w:val="0"/>
      </w:numPr>
      <w:spacing w:before="0"/>
    </w:pPr>
    <w:rPr>
      <w:szCs w:val="24"/>
      <w:lang w:val="fr-FR" w:eastAsia="fr-FR" w:bidi="ar-SA"/>
    </w:rPr>
  </w:style>
  <w:style w:type="paragraph" w:customStyle="1" w:styleId="StyleHeading5Firstline0cm">
    <w:name w:val="Style Heading 5 + First line:  0 cm"/>
    <w:basedOn w:val="5"/>
    <w:qFormat/>
    <w:rsid w:val="00051572"/>
    <w:pPr>
      <w:numPr>
        <w:ilvl w:val="0"/>
        <w:numId w:val="0"/>
      </w:numPr>
    </w:pPr>
    <w:rPr>
      <w:color w:val="363636"/>
      <w:szCs w:val="24"/>
      <w:u w:val="single"/>
    </w:rPr>
  </w:style>
  <w:style w:type="paragraph" w:customStyle="1" w:styleId="Glossary">
    <w:name w:val="Glossary"/>
    <w:basedOn w:val="a"/>
    <w:link w:val="GlossaryChar"/>
    <w:uiPriority w:val="99"/>
    <w:qFormat/>
    <w:rsid w:val="00051572"/>
    <w:pPr>
      <w:spacing w:before="40"/>
    </w:pPr>
    <w:rPr>
      <w:rFonts w:cstheme="majorBidi" w:ascii="Newsletter Sans SC" w:hAnsi="Newsletter Sans SC" w:eastAsia="Newsletter Sans SC" w:cs="Newsletter Sans SC"/>
      <w:sz w:val="16"/>
      <w:szCs w:val="16"/>
      <w:lang w:eastAsia="en-GB"/>
    </w:rPr>
  </w:style>
  <w:style w:type="character" w:customStyle="1" w:styleId="GlossaryChar">
    <w:name w:val="Glossary Char"/>
    <w:basedOn w:val="a0"/>
    <w:link w:val="Glossary"/>
    <w:uiPriority w:val="99"/>
    <w:rsid w:val="00051572"/>
    <w:rPr>
      <w:sz w:val="16"/>
      <w:szCs w:val="16"/>
      <w:lang w:eastAsia="en-GB"/>
    </w:rPr>
  </w:style>
  <w:style w:type="numbering" w:customStyle="1" w:styleId="Style1">
    <w:name w:val="Style1"/>
    <w:uiPriority w:val="99"/>
    <w:rsid w:val="00051572"/>
    <w:pPr>
      <w:numPr>
        <w:numId w:val="4"/>
      </w:numPr>
    </w:pPr>
  </w:style>
  <w:style w:type="paragraph" w:styleId="af9">
    <w:name w:val="header"/>
    <w:basedOn w:val="a"/>
    <w:link w:val="afa"/>
    <w:autoRedefine/>
    <w:uiPriority w:val="99"/>
    <w:rsid w:val="00051572"/>
    <w:pPr>
      <w:tabs>
        <w:tab w:val="center" w:pos="4536"/>
        <w:tab w:val="right" w:pos="9072"/>
      </w:tabs>
    </w:pPr>
  </w:style>
  <w:style w:type="character" w:customStyle="1" w:styleId="afa">
    <w:name w:val="页眉 字符"/>
    <w:basedOn w:val="a0"/>
    <w:link w:val="af9"/>
    <w:uiPriority w:val="99"/>
    <w:rsid w:val="00051572"/>
    <w:rPr>
      <w:rFonts w:cs="Newsletter Sans SC" w:ascii="Newsletter Sans SC" w:hAnsi="Newsletter Sans SC" w:eastAsia="Newsletter Sans SC"/>
      <w:szCs w:val="24"/>
      <w:lang w:eastAsia="fr-FR"/>
    </w:rPr>
  </w:style>
  <w:style w:type="table" w:styleId="afb">
    <w:name w:val="Table Grid"/>
    <w:aliases w:val="SGS Table Basic 1"/>
    <w:basedOn w:val="a1"/>
    <w:rsid w:val="00051572"/>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pPr>
        <w:jc w:val="left"/>
      </w:pPr>
      <w:rPr>
        <w:color w:val="FF6600"/>
      </w:rPr>
      <w:tblPr/>
      <w:tcPr>
        <w:tcBorders>
          <w:bottom w:val="single" w:sz="12" w:space="0" w:color="363636"/>
        </w:tcBorders>
      </w:tcPr>
    </w:tblStylePr>
  </w:style>
  <w:style w:type="table" w:customStyle="1" w:styleId="SGSTableBasic2">
    <w:name w:val="SGS Table Basic 2"/>
    <w:basedOn w:val="a1"/>
    <w:uiPriority w:val="99"/>
    <w:qFormat/>
    <w:rsid w:val="00051572"/>
    <w:pPr>
      <w:spacing w:before="0"/>
    </w:pPr>
    <w:tblPr/>
    <w:tcPr>
      <w:shd w:val="clear" w:color="auto" w:fill="BCBCBC"/>
    </w:tcPr>
    <w:tblStylePr w:type="firstRow">
      <w:pPr>
        <w:jc w:val="left"/>
      </w:pPr>
      <w:tblPr/>
      <w:tcPr>
        <w:shd w:val="clear" w:color="auto" w:fill="363636"/>
        <w:vAlign w:val="center"/>
      </w:tcPr>
    </w:tblStylePr>
  </w:style>
  <w:style w:type="numbering" w:customStyle="1" w:styleId="SGS">
    <w:name w:val="SGS"/>
    <w:uiPriority w:val="99"/>
    <w:rsid w:val="00051572"/>
    <w:pPr>
      <w:numPr>
        <w:numId w:val="5"/>
      </w:numPr>
    </w:pPr>
  </w:style>
  <w:style w:type="paragraph" w:styleId="TOC1">
    <w:name w:val="toc 1"/>
    <w:basedOn w:val="a"/>
    <w:next w:val="a"/>
    <w:autoRedefine/>
    <w:uiPriority w:val="39"/>
    <w:rsid w:val="00051572"/>
    <w:pPr>
      <w:keepNext/>
      <w:keepLines/>
      <w:pBdr>
        <w:left w:val="single" w:sz="48" w:space="4" w:color="FF6600"/>
      </w:pBdr>
      <w:shd w:val="clear" w:color="auto" w:fill="363636"/>
      <w:tabs>
        <w:tab w:val="left" w:pos="426"/>
        <w:tab w:val="right" w:leader="dot" w:pos="9072"/>
      </w:tabs>
    </w:pPr>
    <w:rPr>
      <w:rFonts w:cstheme="majorBidi" w:ascii="Newsletter Sans SC" w:hAnsi="Newsletter Sans SC" w:eastAsia="Newsletter Sans SC" w:cs="Newsletter Sans SC"/>
      <w:b/>
      <w:caps/>
      <w:noProof/>
      <w:color w:val="FFFFFF" w:themeColor="background1"/>
      <w:sz w:val="18"/>
      <w:szCs w:val="20"/>
      <w:lang w:eastAsia="en-US" w:bidi="en-US"/>
    </w:rPr>
  </w:style>
  <w:style w:type="paragraph" w:styleId="TOC2">
    <w:name w:val="toc 2"/>
    <w:basedOn w:val="a"/>
    <w:next w:val="a"/>
    <w:autoRedefine/>
    <w:uiPriority w:val="39"/>
    <w:rsid w:val="00051572"/>
    <w:pPr>
      <w:keepNext/>
      <w:keepLines/>
      <w:tabs>
        <w:tab w:val="left" w:pos="880"/>
        <w:tab w:val="right" w:leader="dot" w:pos="9072"/>
      </w:tabs>
    </w:pPr>
    <w:rPr>
      <w:rFonts w:cstheme="majorBidi" w:ascii="Newsletter Sans SC" w:hAnsi="Newsletter Sans SC" w:eastAsia="Newsletter Sans SC" w:cs="Newsletter Sans SC"/>
      <w:smallCaps/>
      <w:noProof/>
      <w:sz w:val="18"/>
      <w:szCs w:val="18"/>
      <w:lang w:eastAsia="en-US" w:bidi="en-US"/>
    </w:rPr>
  </w:style>
  <w:style w:type="paragraph" w:styleId="TOC3">
    <w:name w:val="toc 3"/>
    <w:basedOn w:val="a"/>
    <w:next w:val="a"/>
    <w:autoRedefine/>
    <w:uiPriority w:val="39"/>
    <w:rsid w:val="00051572"/>
    <w:pPr>
      <w:keepNext/>
      <w:keepLines/>
      <w:tabs>
        <w:tab w:val="left" w:pos="1418"/>
        <w:tab w:val="right" w:leader="dot" w:pos="9072"/>
      </w:tabs>
      <w:ind w:left="1418" w:hanging="567"/>
    </w:pPr>
    <w:rPr>
      <w:rFonts w:cstheme="majorBidi" w:ascii="Newsletter Sans SC" w:hAnsi="Newsletter Sans SC" w:eastAsia="Newsletter Sans SC" w:cs="Newsletter Sans SC"/>
      <w:noProof/>
      <w:sz w:val="18"/>
      <w:szCs w:val="22"/>
      <w:lang w:eastAsia="en-US" w:bidi="en-US"/>
    </w:rPr>
  </w:style>
  <w:style w:type="paragraph" w:styleId="afc">
    <w:name w:val="Balloon Text"/>
    <w:basedOn w:val="a"/>
    <w:link w:val="afd"/>
    <w:semiHidden/>
    <w:rsid w:val="00051572"/>
    <w:pPr>
      <w:spacing w:before="0"/>
    </w:pPr>
    <w:rPr>
      <w:rFonts w:cs="Newsletter Sans SC" w:ascii="Newsletter Sans SC" w:hAnsi="Newsletter Sans SC" w:eastAsia="Newsletter Sans SC"/>
      <w:sz w:val="16"/>
      <w:szCs w:val="16"/>
    </w:rPr>
  </w:style>
  <w:style w:type="character" w:customStyle="1" w:styleId="afd">
    <w:name w:val="批注框文本 字符"/>
    <w:basedOn w:val="a0"/>
    <w:link w:val="afc"/>
    <w:semiHidden/>
    <w:rsid w:val="00051572"/>
    <w:rPr>
      <w:rFonts w:cs="Newsletter Sans SC" w:ascii="Newsletter Sans SC" w:hAnsi="Newsletter Sans SC" w:eastAsia="Newsletter Sans SC"/>
      <w:sz w:val="16"/>
      <w:szCs w:val="16"/>
      <w:lang w:val="fr-FR" w:eastAsia="fr-FR"/>
    </w:rPr>
  </w:style>
  <w:style w:type="table" w:styleId="21">
    <w:name w:val="Table Classic 2"/>
    <w:basedOn w:val="a1"/>
    <w:rsid w:val="00C72CF6"/>
    <w:pPr>
      <w:ind w:left="0" w:firstLine="0"/>
    </w:pPr>
    <w:tblPr>
      <w:tblBorders>
        <w:top w:val="single" w:sz="12" w:space="0" w:color="000000"/>
        <w:bottom w:val="single" w:sz="12" w:space="0" w:color="000000"/>
      </w:tblBorders>
    </w:tblPr>
    <w:tcPr>
      <w:shd w:val="clear" w:color="auto" w:fill="auto"/>
    </w:tcPr>
    <w:tblStylePr w:type="firstRow">
      <w:rPr>
        <w:color w:val="FFFFFF"/>
      </w:rPr>
      <w:tblPr/>
      <w:tcPr>
        <w:shd w:val="clear" w:color="auto" w:fill="FF6600"/>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shd w:val="clear" w:color="auto" w:fill="363636"/>
      </w:tcPr>
    </w:tblStylePr>
    <w:tblStylePr w:type="swCell">
      <w:rPr>
        <w:color w:val="auto"/>
      </w:rPr>
      <w:tblPr/>
      <w:tcPr>
        <w:tcBorders>
          <w:tl2br w:val="none" w:sz="0" w:space="0" w:color="auto"/>
          <w:tr2bl w:val="none" w:sz="0" w:space="0" w:color="auto"/>
        </w:tcBorders>
      </w:tcPr>
    </w:tblStylePr>
  </w:style>
  <w:style w:type="table" w:styleId="11">
    <w:name w:val="Table Colorful 1"/>
    <w:basedOn w:val="a1"/>
    <w:rsid w:val="00B40C4D"/>
    <w:pPr>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clear" w:color="auto" w:fill="BCBCBC"/>
    </w:tcPr>
    <w:tblStylePr w:type="firstRow">
      <w:rPr>
        <w:b/>
        <w:bCs/>
        <w:i/>
        <w:iCs/>
      </w:rPr>
      <w:tblPr/>
      <w:tcPr>
        <w:shd w:val="clear" w:color="auto" w:fill="363636"/>
      </w:tcPr>
    </w:tblStylePr>
    <w:tblStylePr w:type="firstCol">
      <w:rPr>
        <w:b/>
        <w:bCs/>
        <w:i/>
        <w:iCs/>
      </w:rPr>
      <w:tblPr/>
      <w:tcPr>
        <w:shd w:val="clear" w:color="auto" w:fill="FF6600"/>
      </w:tcPr>
    </w:tblStylePr>
    <w:tblStylePr w:type="nwCell">
      <w:tblPr/>
      <w:tcPr>
        <w:shd w:val="clear" w:color="auto" w:fill="363636"/>
      </w:tcPr>
    </w:tblStylePr>
    <w:tblStylePr w:type="swCell">
      <w:rPr>
        <w:b/>
        <w:bCs/>
        <w:i w:val="0"/>
        <w:iCs w:val="0"/>
      </w:rPr>
    </w:tblStylePr>
  </w:style>
  <w:style w:type="table" w:styleId="81">
    <w:name w:val="Table List 8"/>
    <w:basedOn w:val="a1"/>
    <w:rsid w:val="00B40C4D"/>
    <w:pPr>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cPr>
      <w:shd w:val="clear" w:color="auto" w:fill="BCBCBC"/>
    </w:tcPr>
    <w:tblStylePr w:type="firstRow">
      <w:rPr>
        <w:b/>
        <w:bCs/>
        <w:i/>
        <w:iCs/>
      </w:rPr>
      <w:tblPr/>
      <w:tcPr>
        <w:shd w:val="clear" w:color="auto" w:fill="FF6600"/>
      </w:tcPr>
    </w:tblStylePr>
    <w:tblStylePr w:type="lastRow">
      <w:rPr>
        <w:b/>
        <w:bCs/>
      </w:rPr>
      <w:tblPr/>
      <w:tcPr>
        <w:shd w:val="clear" w:color="auto" w:fill="FF6600"/>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shd w:val="clear" w:color="auto" w:fill="BCBCBC"/>
      </w:tcPr>
    </w:tblStylePr>
    <w:tblStylePr w:type="band2Horz">
      <w:tblPr/>
      <w:tcPr>
        <w:shd w:val="clear" w:color="auto" w:fill="363636"/>
      </w:tcPr>
    </w:tblStylePr>
  </w:style>
  <w:style w:type="table" w:styleId="31">
    <w:name w:val="Table Classic 3"/>
    <w:basedOn w:val="a1"/>
    <w:rsid w:val="00B40C4D"/>
    <w:pPr>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BCBCBC"/>
    </w:tcPr>
    <w:tblStylePr w:type="firstRow">
      <w:rPr>
        <w:b/>
        <w:bCs/>
        <w:i/>
        <w:iCs/>
        <w:color w:val="FFFFFF"/>
      </w:rPr>
      <w:tblPr/>
      <w:tcPr>
        <w:shd w:val="clear" w:color="auto" w:fill="363636"/>
      </w:tcPr>
    </w:tblStylePr>
    <w:tblStylePr w:type="lastRow">
      <w:rPr>
        <w:color w:val="FF660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styleId="afe">
    <w:name w:val="Unresolved Mention"/>
    <w:basedOn w:val="a0"/>
    <w:uiPriority w:val="99"/>
    <w:semiHidden/>
    <w:unhideWhenUsed/>
    <w:rsid w:val="00A13E9F"/>
    <w:rPr>
      <w:color w:val="605E5C"/>
      <w:shd w:val="clear" w:color="auto" w:fill="E1DFDD"/>
    </w:rPr>
  </w:style>
  <w:style w:type="paragraph" w:styleId="aff">
    <w:name w:val="Normal (Web)"/>
    <w:basedOn w:val="a"/>
    <w:uiPriority w:val="99"/>
    <w:unhideWhenUsed/>
    <w:rsid w:val="007047B5"/>
    <w:pPr>
      <w:spacing w:before="100" w:beforeAutospacing="1" w:after="100" w:afterAutospacing="1"/>
    </w:pPr>
    <w:rPr>
      <w:rFonts w:ascii="Newsletter Sans SC" w:eastAsia="Newsletter Sans SC" w:hAnsi="Newsletter Sans SC" w:cs="Newsletter Sans SC"/>
      <w:sz w:val="24"/>
      <w:lang w:val="en-US" w:eastAsia="zh-CN"/>
    </w:rPr>
  </w:style>
  <w:style w:type="character" w:customStyle="1" w:styleId="qnt-strong">
    <w:name w:val="qnt-strong"/>
    <w:basedOn w:val="a0"/>
    <w:rsid w:val="00692D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301">
      <w:bodyDiv w:val="1"/>
      <w:marLeft w:val="0"/>
      <w:marRight w:val="0"/>
      <w:marTop w:val="0"/>
      <w:marBottom w:val="0"/>
      <w:divBdr>
        <w:top w:val="none" w:sz="0" w:space="0" w:color="auto"/>
        <w:left w:val="none" w:sz="0" w:space="0" w:color="auto"/>
        <w:bottom w:val="none" w:sz="0" w:space="0" w:color="auto"/>
        <w:right w:val="none" w:sz="0" w:space="0" w:color="auto"/>
      </w:divBdr>
    </w:div>
    <w:div w:id="39481016">
      <w:bodyDiv w:val="1"/>
      <w:marLeft w:val="0"/>
      <w:marRight w:val="0"/>
      <w:marTop w:val="0"/>
      <w:marBottom w:val="0"/>
      <w:divBdr>
        <w:top w:val="none" w:sz="0" w:space="0" w:color="auto"/>
        <w:left w:val="none" w:sz="0" w:space="0" w:color="auto"/>
        <w:bottom w:val="none" w:sz="0" w:space="0" w:color="auto"/>
        <w:right w:val="none" w:sz="0" w:space="0" w:color="auto"/>
      </w:divBdr>
    </w:div>
    <w:div w:id="43799558">
      <w:bodyDiv w:val="1"/>
      <w:marLeft w:val="0"/>
      <w:marRight w:val="0"/>
      <w:marTop w:val="0"/>
      <w:marBottom w:val="0"/>
      <w:divBdr>
        <w:top w:val="none" w:sz="0" w:space="0" w:color="auto"/>
        <w:left w:val="none" w:sz="0" w:space="0" w:color="auto"/>
        <w:bottom w:val="none" w:sz="0" w:space="0" w:color="auto"/>
        <w:right w:val="none" w:sz="0" w:space="0" w:color="auto"/>
      </w:divBdr>
    </w:div>
    <w:div w:id="44986536">
      <w:bodyDiv w:val="1"/>
      <w:marLeft w:val="0"/>
      <w:marRight w:val="0"/>
      <w:marTop w:val="0"/>
      <w:marBottom w:val="0"/>
      <w:divBdr>
        <w:top w:val="none" w:sz="0" w:space="0" w:color="auto"/>
        <w:left w:val="none" w:sz="0" w:space="0" w:color="auto"/>
        <w:bottom w:val="none" w:sz="0" w:space="0" w:color="auto"/>
        <w:right w:val="none" w:sz="0" w:space="0" w:color="auto"/>
      </w:divBdr>
    </w:div>
    <w:div w:id="73204139">
      <w:bodyDiv w:val="1"/>
      <w:marLeft w:val="0"/>
      <w:marRight w:val="0"/>
      <w:marTop w:val="0"/>
      <w:marBottom w:val="0"/>
      <w:divBdr>
        <w:top w:val="none" w:sz="0" w:space="0" w:color="auto"/>
        <w:left w:val="none" w:sz="0" w:space="0" w:color="auto"/>
        <w:bottom w:val="none" w:sz="0" w:space="0" w:color="auto"/>
        <w:right w:val="none" w:sz="0" w:space="0" w:color="auto"/>
      </w:divBdr>
    </w:div>
    <w:div w:id="96756491">
      <w:bodyDiv w:val="1"/>
      <w:marLeft w:val="0"/>
      <w:marRight w:val="0"/>
      <w:marTop w:val="0"/>
      <w:marBottom w:val="0"/>
      <w:divBdr>
        <w:top w:val="none" w:sz="0" w:space="0" w:color="auto"/>
        <w:left w:val="none" w:sz="0" w:space="0" w:color="auto"/>
        <w:bottom w:val="none" w:sz="0" w:space="0" w:color="auto"/>
        <w:right w:val="none" w:sz="0" w:space="0" w:color="auto"/>
      </w:divBdr>
    </w:div>
    <w:div w:id="161972078">
      <w:bodyDiv w:val="1"/>
      <w:marLeft w:val="0"/>
      <w:marRight w:val="0"/>
      <w:marTop w:val="0"/>
      <w:marBottom w:val="0"/>
      <w:divBdr>
        <w:top w:val="none" w:sz="0" w:space="0" w:color="auto"/>
        <w:left w:val="none" w:sz="0" w:space="0" w:color="auto"/>
        <w:bottom w:val="none" w:sz="0" w:space="0" w:color="auto"/>
        <w:right w:val="none" w:sz="0" w:space="0" w:color="auto"/>
      </w:divBdr>
    </w:div>
    <w:div w:id="209616061">
      <w:bodyDiv w:val="1"/>
      <w:marLeft w:val="0"/>
      <w:marRight w:val="0"/>
      <w:marTop w:val="0"/>
      <w:marBottom w:val="0"/>
      <w:divBdr>
        <w:top w:val="none" w:sz="0" w:space="0" w:color="auto"/>
        <w:left w:val="none" w:sz="0" w:space="0" w:color="auto"/>
        <w:bottom w:val="none" w:sz="0" w:space="0" w:color="auto"/>
        <w:right w:val="none" w:sz="0" w:space="0" w:color="auto"/>
      </w:divBdr>
    </w:div>
    <w:div w:id="215708287">
      <w:bodyDiv w:val="1"/>
      <w:marLeft w:val="0"/>
      <w:marRight w:val="0"/>
      <w:marTop w:val="0"/>
      <w:marBottom w:val="0"/>
      <w:divBdr>
        <w:top w:val="none" w:sz="0" w:space="0" w:color="auto"/>
        <w:left w:val="none" w:sz="0" w:space="0" w:color="auto"/>
        <w:bottom w:val="none" w:sz="0" w:space="0" w:color="auto"/>
        <w:right w:val="none" w:sz="0" w:space="0" w:color="auto"/>
      </w:divBdr>
    </w:div>
    <w:div w:id="232278913">
      <w:bodyDiv w:val="1"/>
      <w:marLeft w:val="0"/>
      <w:marRight w:val="0"/>
      <w:marTop w:val="0"/>
      <w:marBottom w:val="0"/>
      <w:divBdr>
        <w:top w:val="none" w:sz="0" w:space="0" w:color="auto"/>
        <w:left w:val="none" w:sz="0" w:space="0" w:color="auto"/>
        <w:bottom w:val="none" w:sz="0" w:space="0" w:color="auto"/>
        <w:right w:val="none" w:sz="0" w:space="0" w:color="auto"/>
      </w:divBdr>
    </w:div>
    <w:div w:id="337462907">
      <w:bodyDiv w:val="1"/>
      <w:marLeft w:val="0"/>
      <w:marRight w:val="0"/>
      <w:marTop w:val="0"/>
      <w:marBottom w:val="0"/>
      <w:divBdr>
        <w:top w:val="none" w:sz="0" w:space="0" w:color="auto"/>
        <w:left w:val="none" w:sz="0" w:space="0" w:color="auto"/>
        <w:bottom w:val="none" w:sz="0" w:space="0" w:color="auto"/>
        <w:right w:val="none" w:sz="0" w:space="0" w:color="auto"/>
      </w:divBdr>
    </w:div>
    <w:div w:id="346441532">
      <w:bodyDiv w:val="1"/>
      <w:marLeft w:val="0"/>
      <w:marRight w:val="0"/>
      <w:marTop w:val="0"/>
      <w:marBottom w:val="0"/>
      <w:divBdr>
        <w:top w:val="none" w:sz="0" w:space="0" w:color="auto"/>
        <w:left w:val="none" w:sz="0" w:space="0" w:color="auto"/>
        <w:bottom w:val="none" w:sz="0" w:space="0" w:color="auto"/>
        <w:right w:val="none" w:sz="0" w:space="0" w:color="auto"/>
      </w:divBdr>
    </w:div>
    <w:div w:id="367687288">
      <w:bodyDiv w:val="1"/>
      <w:marLeft w:val="0"/>
      <w:marRight w:val="0"/>
      <w:marTop w:val="0"/>
      <w:marBottom w:val="0"/>
      <w:divBdr>
        <w:top w:val="none" w:sz="0" w:space="0" w:color="auto"/>
        <w:left w:val="none" w:sz="0" w:space="0" w:color="auto"/>
        <w:bottom w:val="none" w:sz="0" w:space="0" w:color="auto"/>
        <w:right w:val="none" w:sz="0" w:space="0" w:color="auto"/>
      </w:divBdr>
    </w:div>
    <w:div w:id="371659602">
      <w:bodyDiv w:val="1"/>
      <w:marLeft w:val="0"/>
      <w:marRight w:val="0"/>
      <w:marTop w:val="0"/>
      <w:marBottom w:val="0"/>
      <w:divBdr>
        <w:top w:val="none" w:sz="0" w:space="0" w:color="auto"/>
        <w:left w:val="none" w:sz="0" w:space="0" w:color="auto"/>
        <w:bottom w:val="none" w:sz="0" w:space="0" w:color="auto"/>
        <w:right w:val="none" w:sz="0" w:space="0" w:color="auto"/>
      </w:divBdr>
    </w:div>
    <w:div w:id="399404533">
      <w:bodyDiv w:val="1"/>
      <w:marLeft w:val="0"/>
      <w:marRight w:val="0"/>
      <w:marTop w:val="0"/>
      <w:marBottom w:val="0"/>
      <w:divBdr>
        <w:top w:val="none" w:sz="0" w:space="0" w:color="auto"/>
        <w:left w:val="none" w:sz="0" w:space="0" w:color="auto"/>
        <w:bottom w:val="none" w:sz="0" w:space="0" w:color="auto"/>
        <w:right w:val="none" w:sz="0" w:space="0" w:color="auto"/>
      </w:divBdr>
    </w:div>
    <w:div w:id="427893762">
      <w:bodyDiv w:val="1"/>
      <w:marLeft w:val="0"/>
      <w:marRight w:val="0"/>
      <w:marTop w:val="0"/>
      <w:marBottom w:val="0"/>
      <w:divBdr>
        <w:top w:val="none" w:sz="0" w:space="0" w:color="auto"/>
        <w:left w:val="none" w:sz="0" w:space="0" w:color="auto"/>
        <w:bottom w:val="none" w:sz="0" w:space="0" w:color="auto"/>
        <w:right w:val="none" w:sz="0" w:space="0" w:color="auto"/>
      </w:divBdr>
    </w:div>
    <w:div w:id="460268224">
      <w:bodyDiv w:val="1"/>
      <w:marLeft w:val="0"/>
      <w:marRight w:val="0"/>
      <w:marTop w:val="0"/>
      <w:marBottom w:val="0"/>
      <w:divBdr>
        <w:top w:val="none" w:sz="0" w:space="0" w:color="auto"/>
        <w:left w:val="none" w:sz="0" w:space="0" w:color="auto"/>
        <w:bottom w:val="none" w:sz="0" w:space="0" w:color="auto"/>
        <w:right w:val="none" w:sz="0" w:space="0" w:color="auto"/>
      </w:divBdr>
    </w:div>
    <w:div w:id="468086496">
      <w:bodyDiv w:val="1"/>
      <w:marLeft w:val="0"/>
      <w:marRight w:val="0"/>
      <w:marTop w:val="0"/>
      <w:marBottom w:val="0"/>
      <w:divBdr>
        <w:top w:val="none" w:sz="0" w:space="0" w:color="auto"/>
        <w:left w:val="none" w:sz="0" w:space="0" w:color="auto"/>
        <w:bottom w:val="none" w:sz="0" w:space="0" w:color="auto"/>
        <w:right w:val="none" w:sz="0" w:space="0" w:color="auto"/>
      </w:divBdr>
    </w:div>
    <w:div w:id="477722944">
      <w:bodyDiv w:val="1"/>
      <w:marLeft w:val="0"/>
      <w:marRight w:val="0"/>
      <w:marTop w:val="0"/>
      <w:marBottom w:val="0"/>
      <w:divBdr>
        <w:top w:val="none" w:sz="0" w:space="0" w:color="auto"/>
        <w:left w:val="none" w:sz="0" w:space="0" w:color="auto"/>
        <w:bottom w:val="none" w:sz="0" w:space="0" w:color="auto"/>
        <w:right w:val="none" w:sz="0" w:space="0" w:color="auto"/>
      </w:divBdr>
    </w:div>
    <w:div w:id="537544445">
      <w:bodyDiv w:val="1"/>
      <w:marLeft w:val="0"/>
      <w:marRight w:val="0"/>
      <w:marTop w:val="0"/>
      <w:marBottom w:val="0"/>
      <w:divBdr>
        <w:top w:val="none" w:sz="0" w:space="0" w:color="auto"/>
        <w:left w:val="none" w:sz="0" w:space="0" w:color="auto"/>
        <w:bottom w:val="none" w:sz="0" w:space="0" w:color="auto"/>
        <w:right w:val="none" w:sz="0" w:space="0" w:color="auto"/>
      </w:divBdr>
    </w:div>
    <w:div w:id="589851264">
      <w:bodyDiv w:val="1"/>
      <w:marLeft w:val="0"/>
      <w:marRight w:val="0"/>
      <w:marTop w:val="0"/>
      <w:marBottom w:val="0"/>
      <w:divBdr>
        <w:top w:val="none" w:sz="0" w:space="0" w:color="auto"/>
        <w:left w:val="none" w:sz="0" w:space="0" w:color="auto"/>
        <w:bottom w:val="none" w:sz="0" w:space="0" w:color="auto"/>
        <w:right w:val="none" w:sz="0" w:space="0" w:color="auto"/>
      </w:divBdr>
    </w:div>
    <w:div w:id="700935989">
      <w:bodyDiv w:val="1"/>
      <w:marLeft w:val="0"/>
      <w:marRight w:val="0"/>
      <w:marTop w:val="0"/>
      <w:marBottom w:val="0"/>
      <w:divBdr>
        <w:top w:val="none" w:sz="0" w:space="0" w:color="auto"/>
        <w:left w:val="none" w:sz="0" w:space="0" w:color="auto"/>
        <w:bottom w:val="none" w:sz="0" w:space="0" w:color="auto"/>
        <w:right w:val="none" w:sz="0" w:space="0" w:color="auto"/>
      </w:divBdr>
    </w:div>
    <w:div w:id="707223899">
      <w:bodyDiv w:val="1"/>
      <w:marLeft w:val="0"/>
      <w:marRight w:val="0"/>
      <w:marTop w:val="0"/>
      <w:marBottom w:val="0"/>
      <w:divBdr>
        <w:top w:val="none" w:sz="0" w:space="0" w:color="auto"/>
        <w:left w:val="none" w:sz="0" w:space="0" w:color="auto"/>
        <w:bottom w:val="none" w:sz="0" w:space="0" w:color="auto"/>
        <w:right w:val="none" w:sz="0" w:space="0" w:color="auto"/>
      </w:divBdr>
    </w:div>
    <w:div w:id="759184518">
      <w:bodyDiv w:val="1"/>
      <w:marLeft w:val="0"/>
      <w:marRight w:val="0"/>
      <w:marTop w:val="0"/>
      <w:marBottom w:val="0"/>
      <w:divBdr>
        <w:top w:val="none" w:sz="0" w:space="0" w:color="auto"/>
        <w:left w:val="none" w:sz="0" w:space="0" w:color="auto"/>
        <w:bottom w:val="none" w:sz="0" w:space="0" w:color="auto"/>
        <w:right w:val="none" w:sz="0" w:space="0" w:color="auto"/>
      </w:divBdr>
    </w:div>
    <w:div w:id="781267395">
      <w:bodyDiv w:val="1"/>
      <w:marLeft w:val="0"/>
      <w:marRight w:val="0"/>
      <w:marTop w:val="0"/>
      <w:marBottom w:val="0"/>
      <w:divBdr>
        <w:top w:val="none" w:sz="0" w:space="0" w:color="auto"/>
        <w:left w:val="none" w:sz="0" w:space="0" w:color="auto"/>
        <w:bottom w:val="none" w:sz="0" w:space="0" w:color="auto"/>
        <w:right w:val="none" w:sz="0" w:space="0" w:color="auto"/>
      </w:divBdr>
    </w:div>
    <w:div w:id="873420684">
      <w:bodyDiv w:val="1"/>
      <w:marLeft w:val="0"/>
      <w:marRight w:val="0"/>
      <w:marTop w:val="0"/>
      <w:marBottom w:val="0"/>
      <w:divBdr>
        <w:top w:val="none" w:sz="0" w:space="0" w:color="auto"/>
        <w:left w:val="none" w:sz="0" w:space="0" w:color="auto"/>
        <w:bottom w:val="none" w:sz="0" w:space="0" w:color="auto"/>
        <w:right w:val="none" w:sz="0" w:space="0" w:color="auto"/>
      </w:divBdr>
    </w:div>
    <w:div w:id="889071069">
      <w:bodyDiv w:val="1"/>
      <w:marLeft w:val="0"/>
      <w:marRight w:val="0"/>
      <w:marTop w:val="0"/>
      <w:marBottom w:val="0"/>
      <w:divBdr>
        <w:top w:val="none" w:sz="0" w:space="0" w:color="auto"/>
        <w:left w:val="none" w:sz="0" w:space="0" w:color="auto"/>
        <w:bottom w:val="none" w:sz="0" w:space="0" w:color="auto"/>
        <w:right w:val="none" w:sz="0" w:space="0" w:color="auto"/>
      </w:divBdr>
    </w:div>
    <w:div w:id="899249078">
      <w:bodyDiv w:val="1"/>
      <w:marLeft w:val="0"/>
      <w:marRight w:val="0"/>
      <w:marTop w:val="0"/>
      <w:marBottom w:val="0"/>
      <w:divBdr>
        <w:top w:val="none" w:sz="0" w:space="0" w:color="auto"/>
        <w:left w:val="none" w:sz="0" w:space="0" w:color="auto"/>
        <w:bottom w:val="none" w:sz="0" w:space="0" w:color="auto"/>
        <w:right w:val="none" w:sz="0" w:space="0" w:color="auto"/>
      </w:divBdr>
    </w:div>
    <w:div w:id="955523691">
      <w:bodyDiv w:val="1"/>
      <w:marLeft w:val="0"/>
      <w:marRight w:val="0"/>
      <w:marTop w:val="0"/>
      <w:marBottom w:val="0"/>
      <w:divBdr>
        <w:top w:val="none" w:sz="0" w:space="0" w:color="auto"/>
        <w:left w:val="none" w:sz="0" w:space="0" w:color="auto"/>
        <w:bottom w:val="none" w:sz="0" w:space="0" w:color="auto"/>
        <w:right w:val="none" w:sz="0" w:space="0" w:color="auto"/>
      </w:divBdr>
    </w:div>
    <w:div w:id="984775383">
      <w:bodyDiv w:val="1"/>
      <w:marLeft w:val="0"/>
      <w:marRight w:val="0"/>
      <w:marTop w:val="0"/>
      <w:marBottom w:val="0"/>
      <w:divBdr>
        <w:top w:val="none" w:sz="0" w:space="0" w:color="auto"/>
        <w:left w:val="none" w:sz="0" w:space="0" w:color="auto"/>
        <w:bottom w:val="none" w:sz="0" w:space="0" w:color="auto"/>
        <w:right w:val="none" w:sz="0" w:space="0" w:color="auto"/>
      </w:divBdr>
    </w:div>
    <w:div w:id="989822612">
      <w:bodyDiv w:val="1"/>
      <w:marLeft w:val="0"/>
      <w:marRight w:val="0"/>
      <w:marTop w:val="0"/>
      <w:marBottom w:val="0"/>
      <w:divBdr>
        <w:top w:val="none" w:sz="0" w:space="0" w:color="auto"/>
        <w:left w:val="none" w:sz="0" w:space="0" w:color="auto"/>
        <w:bottom w:val="none" w:sz="0" w:space="0" w:color="auto"/>
        <w:right w:val="none" w:sz="0" w:space="0" w:color="auto"/>
      </w:divBdr>
    </w:div>
    <w:div w:id="991831486">
      <w:bodyDiv w:val="1"/>
      <w:marLeft w:val="0"/>
      <w:marRight w:val="0"/>
      <w:marTop w:val="0"/>
      <w:marBottom w:val="0"/>
      <w:divBdr>
        <w:top w:val="none" w:sz="0" w:space="0" w:color="auto"/>
        <w:left w:val="none" w:sz="0" w:space="0" w:color="auto"/>
        <w:bottom w:val="none" w:sz="0" w:space="0" w:color="auto"/>
        <w:right w:val="none" w:sz="0" w:space="0" w:color="auto"/>
      </w:divBdr>
    </w:div>
    <w:div w:id="1001590512">
      <w:bodyDiv w:val="1"/>
      <w:marLeft w:val="0"/>
      <w:marRight w:val="0"/>
      <w:marTop w:val="0"/>
      <w:marBottom w:val="0"/>
      <w:divBdr>
        <w:top w:val="none" w:sz="0" w:space="0" w:color="auto"/>
        <w:left w:val="none" w:sz="0" w:space="0" w:color="auto"/>
        <w:bottom w:val="none" w:sz="0" w:space="0" w:color="auto"/>
        <w:right w:val="none" w:sz="0" w:space="0" w:color="auto"/>
      </w:divBdr>
    </w:div>
    <w:div w:id="1002322389">
      <w:bodyDiv w:val="1"/>
      <w:marLeft w:val="0"/>
      <w:marRight w:val="0"/>
      <w:marTop w:val="0"/>
      <w:marBottom w:val="0"/>
      <w:divBdr>
        <w:top w:val="none" w:sz="0" w:space="0" w:color="auto"/>
        <w:left w:val="none" w:sz="0" w:space="0" w:color="auto"/>
        <w:bottom w:val="none" w:sz="0" w:space="0" w:color="auto"/>
        <w:right w:val="none" w:sz="0" w:space="0" w:color="auto"/>
      </w:divBdr>
    </w:div>
    <w:div w:id="1008213857">
      <w:bodyDiv w:val="1"/>
      <w:marLeft w:val="0"/>
      <w:marRight w:val="0"/>
      <w:marTop w:val="0"/>
      <w:marBottom w:val="0"/>
      <w:divBdr>
        <w:top w:val="none" w:sz="0" w:space="0" w:color="auto"/>
        <w:left w:val="none" w:sz="0" w:space="0" w:color="auto"/>
        <w:bottom w:val="none" w:sz="0" w:space="0" w:color="auto"/>
        <w:right w:val="none" w:sz="0" w:space="0" w:color="auto"/>
      </w:divBdr>
    </w:div>
    <w:div w:id="1061749729">
      <w:bodyDiv w:val="1"/>
      <w:marLeft w:val="0"/>
      <w:marRight w:val="0"/>
      <w:marTop w:val="0"/>
      <w:marBottom w:val="0"/>
      <w:divBdr>
        <w:top w:val="none" w:sz="0" w:space="0" w:color="auto"/>
        <w:left w:val="none" w:sz="0" w:space="0" w:color="auto"/>
        <w:bottom w:val="none" w:sz="0" w:space="0" w:color="auto"/>
        <w:right w:val="none" w:sz="0" w:space="0" w:color="auto"/>
      </w:divBdr>
    </w:div>
    <w:div w:id="1063018484">
      <w:bodyDiv w:val="1"/>
      <w:marLeft w:val="0"/>
      <w:marRight w:val="0"/>
      <w:marTop w:val="0"/>
      <w:marBottom w:val="0"/>
      <w:divBdr>
        <w:top w:val="none" w:sz="0" w:space="0" w:color="auto"/>
        <w:left w:val="none" w:sz="0" w:space="0" w:color="auto"/>
        <w:bottom w:val="none" w:sz="0" w:space="0" w:color="auto"/>
        <w:right w:val="none" w:sz="0" w:space="0" w:color="auto"/>
      </w:divBdr>
    </w:div>
    <w:div w:id="1064185335">
      <w:bodyDiv w:val="1"/>
      <w:marLeft w:val="0"/>
      <w:marRight w:val="0"/>
      <w:marTop w:val="0"/>
      <w:marBottom w:val="0"/>
      <w:divBdr>
        <w:top w:val="none" w:sz="0" w:space="0" w:color="auto"/>
        <w:left w:val="none" w:sz="0" w:space="0" w:color="auto"/>
        <w:bottom w:val="none" w:sz="0" w:space="0" w:color="auto"/>
        <w:right w:val="none" w:sz="0" w:space="0" w:color="auto"/>
      </w:divBdr>
    </w:div>
    <w:div w:id="1085031940">
      <w:bodyDiv w:val="1"/>
      <w:marLeft w:val="0"/>
      <w:marRight w:val="0"/>
      <w:marTop w:val="0"/>
      <w:marBottom w:val="0"/>
      <w:divBdr>
        <w:top w:val="none" w:sz="0" w:space="0" w:color="auto"/>
        <w:left w:val="none" w:sz="0" w:space="0" w:color="auto"/>
        <w:bottom w:val="none" w:sz="0" w:space="0" w:color="auto"/>
        <w:right w:val="none" w:sz="0" w:space="0" w:color="auto"/>
      </w:divBdr>
    </w:div>
    <w:div w:id="1157843416">
      <w:bodyDiv w:val="1"/>
      <w:marLeft w:val="0"/>
      <w:marRight w:val="0"/>
      <w:marTop w:val="0"/>
      <w:marBottom w:val="0"/>
      <w:divBdr>
        <w:top w:val="none" w:sz="0" w:space="0" w:color="auto"/>
        <w:left w:val="none" w:sz="0" w:space="0" w:color="auto"/>
        <w:bottom w:val="none" w:sz="0" w:space="0" w:color="auto"/>
        <w:right w:val="none" w:sz="0" w:space="0" w:color="auto"/>
      </w:divBdr>
    </w:div>
    <w:div w:id="1190800789">
      <w:bodyDiv w:val="1"/>
      <w:marLeft w:val="0"/>
      <w:marRight w:val="0"/>
      <w:marTop w:val="0"/>
      <w:marBottom w:val="0"/>
      <w:divBdr>
        <w:top w:val="none" w:sz="0" w:space="0" w:color="auto"/>
        <w:left w:val="none" w:sz="0" w:space="0" w:color="auto"/>
        <w:bottom w:val="none" w:sz="0" w:space="0" w:color="auto"/>
        <w:right w:val="none" w:sz="0" w:space="0" w:color="auto"/>
      </w:divBdr>
    </w:div>
    <w:div w:id="1193803884">
      <w:bodyDiv w:val="1"/>
      <w:marLeft w:val="0"/>
      <w:marRight w:val="0"/>
      <w:marTop w:val="0"/>
      <w:marBottom w:val="0"/>
      <w:divBdr>
        <w:top w:val="none" w:sz="0" w:space="0" w:color="auto"/>
        <w:left w:val="none" w:sz="0" w:space="0" w:color="auto"/>
        <w:bottom w:val="none" w:sz="0" w:space="0" w:color="auto"/>
        <w:right w:val="none" w:sz="0" w:space="0" w:color="auto"/>
      </w:divBdr>
    </w:div>
    <w:div w:id="1232083384">
      <w:bodyDiv w:val="1"/>
      <w:marLeft w:val="0"/>
      <w:marRight w:val="0"/>
      <w:marTop w:val="0"/>
      <w:marBottom w:val="0"/>
      <w:divBdr>
        <w:top w:val="none" w:sz="0" w:space="0" w:color="auto"/>
        <w:left w:val="none" w:sz="0" w:space="0" w:color="auto"/>
        <w:bottom w:val="none" w:sz="0" w:space="0" w:color="auto"/>
        <w:right w:val="none" w:sz="0" w:space="0" w:color="auto"/>
      </w:divBdr>
    </w:div>
    <w:div w:id="1234193924">
      <w:bodyDiv w:val="1"/>
      <w:marLeft w:val="0"/>
      <w:marRight w:val="0"/>
      <w:marTop w:val="0"/>
      <w:marBottom w:val="0"/>
      <w:divBdr>
        <w:top w:val="none" w:sz="0" w:space="0" w:color="auto"/>
        <w:left w:val="none" w:sz="0" w:space="0" w:color="auto"/>
        <w:bottom w:val="none" w:sz="0" w:space="0" w:color="auto"/>
        <w:right w:val="none" w:sz="0" w:space="0" w:color="auto"/>
      </w:divBdr>
    </w:div>
    <w:div w:id="1290552552">
      <w:bodyDiv w:val="1"/>
      <w:marLeft w:val="0"/>
      <w:marRight w:val="0"/>
      <w:marTop w:val="0"/>
      <w:marBottom w:val="0"/>
      <w:divBdr>
        <w:top w:val="none" w:sz="0" w:space="0" w:color="auto"/>
        <w:left w:val="none" w:sz="0" w:space="0" w:color="auto"/>
        <w:bottom w:val="none" w:sz="0" w:space="0" w:color="auto"/>
        <w:right w:val="none" w:sz="0" w:space="0" w:color="auto"/>
      </w:divBdr>
    </w:div>
    <w:div w:id="1301883934">
      <w:bodyDiv w:val="1"/>
      <w:marLeft w:val="0"/>
      <w:marRight w:val="0"/>
      <w:marTop w:val="0"/>
      <w:marBottom w:val="0"/>
      <w:divBdr>
        <w:top w:val="none" w:sz="0" w:space="0" w:color="auto"/>
        <w:left w:val="none" w:sz="0" w:space="0" w:color="auto"/>
        <w:bottom w:val="none" w:sz="0" w:space="0" w:color="auto"/>
        <w:right w:val="none" w:sz="0" w:space="0" w:color="auto"/>
      </w:divBdr>
    </w:div>
    <w:div w:id="1379088599">
      <w:bodyDiv w:val="1"/>
      <w:marLeft w:val="0"/>
      <w:marRight w:val="0"/>
      <w:marTop w:val="0"/>
      <w:marBottom w:val="0"/>
      <w:divBdr>
        <w:top w:val="none" w:sz="0" w:space="0" w:color="auto"/>
        <w:left w:val="none" w:sz="0" w:space="0" w:color="auto"/>
        <w:bottom w:val="none" w:sz="0" w:space="0" w:color="auto"/>
        <w:right w:val="none" w:sz="0" w:space="0" w:color="auto"/>
      </w:divBdr>
    </w:div>
    <w:div w:id="1443920434">
      <w:bodyDiv w:val="1"/>
      <w:marLeft w:val="0"/>
      <w:marRight w:val="0"/>
      <w:marTop w:val="0"/>
      <w:marBottom w:val="0"/>
      <w:divBdr>
        <w:top w:val="none" w:sz="0" w:space="0" w:color="auto"/>
        <w:left w:val="none" w:sz="0" w:space="0" w:color="auto"/>
        <w:bottom w:val="none" w:sz="0" w:space="0" w:color="auto"/>
        <w:right w:val="none" w:sz="0" w:space="0" w:color="auto"/>
      </w:divBdr>
    </w:div>
    <w:div w:id="1450472036">
      <w:bodyDiv w:val="1"/>
      <w:marLeft w:val="0"/>
      <w:marRight w:val="0"/>
      <w:marTop w:val="0"/>
      <w:marBottom w:val="0"/>
      <w:divBdr>
        <w:top w:val="none" w:sz="0" w:space="0" w:color="auto"/>
        <w:left w:val="none" w:sz="0" w:space="0" w:color="auto"/>
        <w:bottom w:val="none" w:sz="0" w:space="0" w:color="auto"/>
        <w:right w:val="none" w:sz="0" w:space="0" w:color="auto"/>
      </w:divBdr>
    </w:div>
    <w:div w:id="1466046038">
      <w:bodyDiv w:val="1"/>
      <w:marLeft w:val="0"/>
      <w:marRight w:val="0"/>
      <w:marTop w:val="0"/>
      <w:marBottom w:val="0"/>
      <w:divBdr>
        <w:top w:val="none" w:sz="0" w:space="0" w:color="auto"/>
        <w:left w:val="none" w:sz="0" w:space="0" w:color="auto"/>
        <w:bottom w:val="none" w:sz="0" w:space="0" w:color="auto"/>
        <w:right w:val="none" w:sz="0" w:space="0" w:color="auto"/>
      </w:divBdr>
    </w:div>
    <w:div w:id="1518033136">
      <w:bodyDiv w:val="1"/>
      <w:marLeft w:val="0"/>
      <w:marRight w:val="0"/>
      <w:marTop w:val="0"/>
      <w:marBottom w:val="0"/>
      <w:divBdr>
        <w:top w:val="none" w:sz="0" w:space="0" w:color="auto"/>
        <w:left w:val="none" w:sz="0" w:space="0" w:color="auto"/>
        <w:bottom w:val="none" w:sz="0" w:space="0" w:color="auto"/>
        <w:right w:val="none" w:sz="0" w:space="0" w:color="auto"/>
      </w:divBdr>
    </w:div>
    <w:div w:id="1518227745">
      <w:bodyDiv w:val="1"/>
      <w:marLeft w:val="0"/>
      <w:marRight w:val="0"/>
      <w:marTop w:val="0"/>
      <w:marBottom w:val="0"/>
      <w:divBdr>
        <w:top w:val="none" w:sz="0" w:space="0" w:color="auto"/>
        <w:left w:val="none" w:sz="0" w:space="0" w:color="auto"/>
        <w:bottom w:val="none" w:sz="0" w:space="0" w:color="auto"/>
        <w:right w:val="none" w:sz="0" w:space="0" w:color="auto"/>
      </w:divBdr>
    </w:div>
    <w:div w:id="1519807143">
      <w:bodyDiv w:val="1"/>
      <w:marLeft w:val="0"/>
      <w:marRight w:val="0"/>
      <w:marTop w:val="0"/>
      <w:marBottom w:val="0"/>
      <w:divBdr>
        <w:top w:val="none" w:sz="0" w:space="0" w:color="auto"/>
        <w:left w:val="none" w:sz="0" w:space="0" w:color="auto"/>
        <w:bottom w:val="none" w:sz="0" w:space="0" w:color="auto"/>
        <w:right w:val="none" w:sz="0" w:space="0" w:color="auto"/>
      </w:divBdr>
    </w:div>
    <w:div w:id="1521971327">
      <w:bodyDiv w:val="1"/>
      <w:marLeft w:val="0"/>
      <w:marRight w:val="0"/>
      <w:marTop w:val="0"/>
      <w:marBottom w:val="0"/>
      <w:divBdr>
        <w:top w:val="none" w:sz="0" w:space="0" w:color="auto"/>
        <w:left w:val="none" w:sz="0" w:space="0" w:color="auto"/>
        <w:bottom w:val="none" w:sz="0" w:space="0" w:color="auto"/>
        <w:right w:val="none" w:sz="0" w:space="0" w:color="auto"/>
      </w:divBdr>
    </w:div>
    <w:div w:id="1580217052">
      <w:bodyDiv w:val="1"/>
      <w:marLeft w:val="0"/>
      <w:marRight w:val="0"/>
      <w:marTop w:val="0"/>
      <w:marBottom w:val="0"/>
      <w:divBdr>
        <w:top w:val="none" w:sz="0" w:space="0" w:color="auto"/>
        <w:left w:val="none" w:sz="0" w:space="0" w:color="auto"/>
        <w:bottom w:val="none" w:sz="0" w:space="0" w:color="auto"/>
        <w:right w:val="none" w:sz="0" w:space="0" w:color="auto"/>
      </w:divBdr>
    </w:div>
    <w:div w:id="1623071535">
      <w:bodyDiv w:val="1"/>
      <w:marLeft w:val="0"/>
      <w:marRight w:val="0"/>
      <w:marTop w:val="0"/>
      <w:marBottom w:val="0"/>
      <w:divBdr>
        <w:top w:val="none" w:sz="0" w:space="0" w:color="auto"/>
        <w:left w:val="none" w:sz="0" w:space="0" w:color="auto"/>
        <w:bottom w:val="none" w:sz="0" w:space="0" w:color="auto"/>
        <w:right w:val="none" w:sz="0" w:space="0" w:color="auto"/>
      </w:divBdr>
    </w:div>
    <w:div w:id="1626737137">
      <w:bodyDiv w:val="1"/>
      <w:marLeft w:val="0"/>
      <w:marRight w:val="0"/>
      <w:marTop w:val="0"/>
      <w:marBottom w:val="0"/>
      <w:divBdr>
        <w:top w:val="none" w:sz="0" w:space="0" w:color="auto"/>
        <w:left w:val="none" w:sz="0" w:space="0" w:color="auto"/>
        <w:bottom w:val="none" w:sz="0" w:space="0" w:color="auto"/>
        <w:right w:val="none" w:sz="0" w:space="0" w:color="auto"/>
      </w:divBdr>
    </w:div>
    <w:div w:id="1673755027">
      <w:bodyDiv w:val="1"/>
      <w:marLeft w:val="0"/>
      <w:marRight w:val="0"/>
      <w:marTop w:val="0"/>
      <w:marBottom w:val="0"/>
      <w:divBdr>
        <w:top w:val="none" w:sz="0" w:space="0" w:color="auto"/>
        <w:left w:val="none" w:sz="0" w:space="0" w:color="auto"/>
        <w:bottom w:val="none" w:sz="0" w:space="0" w:color="auto"/>
        <w:right w:val="none" w:sz="0" w:space="0" w:color="auto"/>
      </w:divBdr>
    </w:div>
    <w:div w:id="1720741790">
      <w:bodyDiv w:val="1"/>
      <w:marLeft w:val="0"/>
      <w:marRight w:val="0"/>
      <w:marTop w:val="0"/>
      <w:marBottom w:val="0"/>
      <w:divBdr>
        <w:top w:val="none" w:sz="0" w:space="0" w:color="auto"/>
        <w:left w:val="none" w:sz="0" w:space="0" w:color="auto"/>
        <w:bottom w:val="none" w:sz="0" w:space="0" w:color="auto"/>
        <w:right w:val="none" w:sz="0" w:space="0" w:color="auto"/>
      </w:divBdr>
    </w:div>
    <w:div w:id="1785227603">
      <w:bodyDiv w:val="1"/>
      <w:marLeft w:val="0"/>
      <w:marRight w:val="0"/>
      <w:marTop w:val="0"/>
      <w:marBottom w:val="0"/>
      <w:divBdr>
        <w:top w:val="none" w:sz="0" w:space="0" w:color="auto"/>
        <w:left w:val="none" w:sz="0" w:space="0" w:color="auto"/>
        <w:bottom w:val="none" w:sz="0" w:space="0" w:color="auto"/>
        <w:right w:val="none" w:sz="0" w:space="0" w:color="auto"/>
      </w:divBdr>
    </w:div>
    <w:div w:id="1800760350">
      <w:bodyDiv w:val="1"/>
      <w:marLeft w:val="0"/>
      <w:marRight w:val="0"/>
      <w:marTop w:val="0"/>
      <w:marBottom w:val="0"/>
      <w:divBdr>
        <w:top w:val="none" w:sz="0" w:space="0" w:color="auto"/>
        <w:left w:val="none" w:sz="0" w:space="0" w:color="auto"/>
        <w:bottom w:val="none" w:sz="0" w:space="0" w:color="auto"/>
        <w:right w:val="none" w:sz="0" w:space="0" w:color="auto"/>
      </w:divBdr>
    </w:div>
    <w:div w:id="1805731355">
      <w:bodyDiv w:val="1"/>
      <w:marLeft w:val="0"/>
      <w:marRight w:val="0"/>
      <w:marTop w:val="0"/>
      <w:marBottom w:val="0"/>
      <w:divBdr>
        <w:top w:val="none" w:sz="0" w:space="0" w:color="auto"/>
        <w:left w:val="none" w:sz="0" w:space="0" w:color="auto"/>
        <w:bottom w:val="none" w:sz="0" w:space="0" w:color="auto"/>
        <w:right w:val="none" w:sz="0" w:space="0" w:color="auto"/>
      </w:divBdr>
    </w:div>
    <w:div w:id="1808008914">
      <w:bodyDiv w:val="1"/>
      <w:marLeft w:val="0"/>
      <w:marRight w:val="0"/>
      <w:marTop w:val="0"/>
      <w:marBottom w:val="0"/>
      <w:divBdr>
        <w:top w:val="none" w:sz="0" w:space="0" w:color="auto"/>
        <w:left w:val="none" w:sz="0" w:space="0" w:color="auto"/>
        <w:bottom w:val="none" w:sz="0" w:space="0" w:color="auto"/>
        <w:right w:val="none" w:sz="0" w:space="0" w:color="auto"/>
      </w:divBdr>
    </w:div>
    <w:div w:id="1893423925">
      <w:bodyDiv w:val="1"/>
      <w:marLeft w:val="0"/>
      <w:marRight w:val="0"/>
      <w:marTop w:val="0"/>
      <w:marBottom w:val="0"/>
      <w:divBdr>
        <w:top w:val="none" w:sz="0" w:space="0" w:color="auto"/>
        <w:left w:val="none" w:sz="0" w:space="0" w:color="auto"/>
        <w:bottom w:val="none" w:sz="0" w:space="0" w:color="auto"/>
        <w:right w:val="none" w:sz="0" w:space="0" w:color="auto"/>
      </w:divBdr>
    </w:div>
    <w:div w:id="1996030144">
      <w:bodyDiv w:val="1"/>
      <w:marLeft w:val="0"/>
      <w:marRight w:val="0"/>
      <w:marTop w:val="0"/>
      <w:marBottom w:val="0"/>
      <w:divBdr>
        <w:top w:val="none" w:sz="0" w:space="0" w:color="auto"/>
        <w:left w:val="none" w:sz="0" w:space="0" w:color="auto"/>
        <w:bottom w:val="none" w:sz="0" w:space="0" w:color="auto"/>
        <w:right w:val="none" w:sz="0" w:space="0" w:color="auto"/>
      </w:divBdr>
    </w:div>
    <w:div w:id="2013408773">
      <w:bodyDiv w:val="1"/>
      <w:marLeft w:val="0"/>
      <w:marRight w:val="0"/>
      <w:marTop w:val="0"/>
      <w:marBottom w:val="0"/>
      <w:divBdr>
        <w:top w:val="none" w:sz="0" w:space="0" w:color="auto"/>
        <w:left w:val="none" w:sz="0" w:space="0" w:color="auto"/>
        <w:bottom w:val="none" w:sz="0" w:space="0" w:color="auto"/>
        <w:right w:val="none" w:sz="0" w:space="0" w:color="auto"/>
      </w:divBdr>
    </w:div>
    <w:div w:id="2022197151">
      <w:bodyDiv w:val="1"/>
      <w:marLeft w:val="0"/>
      <w:marRight w:val="0"/>
      <w:marTop w:val="0"/>
      <w:marBottom w:val="0"/>
      <w:divBdr>
        <w:top w:val="none" w:sz="0" w:space="0" w:color="auto"/>
        <w:left w:val="none" w:sz="0" w:space="0" w:color="auto"/>
        <w:bottom w:val="none" w:sz="0" w:space="0" w:color="auto"/>
        <w:right w:val="none" w:sz="0" w:space="0" w:color="auto"/>
      </w:divBdr>
    </w:div>
    <w:div w:id="2074619572">
      <w:bodyDiv w:val="1"/>
      <w:marLeft w:val="0"/>
      <w:marRight w:val="0"/>
      <w:marTop w:val="0"/>
      <w:marBottom w:val="0"/>
      <w:divBdr>
        <w:top w:val="none" w:sz="0" w:space="0" w:color="auto"/>
        <w:left w:val="none" w:sz="0" w:space="0" w:color="auto"/>
        <w:bottom w:val="none" w:sz="0" w:space="0" w:color="auto"/>
        <w:right w:val="none" w:sz="0" w:space="0" w:color="auto"/>
      </w:divBdr>
    </w:div>
    <w:div w:id="2081710030">
      <w:bodyDiv w:val="1"/>
      <w:marLeft w:val="0"/>
      <w:marRight w:val="0"/>
      <w:marTop w:val="0"/>
      <w:marBottom w:val="0"/>
      <w:divBdr>
        <w:top w:val="none" w:sz="0" w:space="0" w:color="auto"/>
        <w:left w:val="none" w:sz="0" w:space="0" w:color="auto"/>
        <w:bottom w:val="none" w:sz="0" w:space="0" w:color="auto"/>
        <w:right w:val="none" w:sz="0" w:space="0" w:color="auto"/>
      </w:divBdr>
    </w:div>
    <w:div w:id="21075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webSettings" Target="webSettings.xml"/><Relationship Id="rId24" Type="http://schemas.openxmlformats.org/officeDocument/2006/relationships/hyperlink" Target="https://webgate.ec.europa.eu/rasff-window/screen/notification/873294" TargetMode="External"/><Relationship Id="rId25" Type="http://schemas.openxmlformats.org/officeDocument/2006/relationships/hyperlink" Target="https://webgate.ec.europa.eu/rasff-window/screen/notification/872969" TargetMode="External"/><Relationship Id="rId26" Type="http://schemas.openxmlformats.org/officeDocument/2006/relationships/hyperlink" Target="https://webgate.ec.europa.eu/rasff-window/screen/notification/873106" TargetMode="External"/><Relationship Id="rId27" Type="http://schemas.openxmlformats.org/officeDocument/2006/relationships/hyperlink" Target="https://webgate.ec.europa.eu/rasff-window/screen/notification/872326" TargetMode="External"/><Relationship Id="rId28" Type="http://schemas.openxmlformats.org/officeDocument/2006/relationships/hyperlink" Target="https://webgate.ec.europa.eu/rasff-window/screen/notification/873012" TargetMode="External"/><Relationship Id="rId29" Type="http://schemas.openxmlformats.org/officeDocument/2006/relationships/hyperlink" Target="https://inspection.canada.ca/en/animal-health/terrestrial-animals/imports/import-policies/products-and-products/pet-food/2026-09-15" TargetMode="External"/><Relationship Id="rId30" Type="http://schemas.openxmlformats.org/officeDocument/2006/relationships/hyperlink" Target="https://efsa.onlinelibrary.wiley.com/doi/10.2903/j.efsa.2026.10307" TargetMode="External"/><Relationship Id="rId8" Type="http://schemas.openxmlformats.org/officeDocument/2006/relationships/hyperlink" Target="https://efsa.onlinelibrary.wiley.com/doi/10.2903/j.efsa.2026.10293" TargetMode="External"/><Relationship Id="rId9" Type="http://schemas.openxmlformats.org/officeDocument/2006/relationships/hyperlink" Target="https://efsa.onlinelibrary.wiley.com/doi/10.2903/j.efsa.2026.10294" TargetMode="External"/><Relationship Id="rId10" Type="http://schemas.openxmlformats.org/officeDocument/2006/relationships/hyperlink" Target="https://eur-lex.europa.eu/eli/reg_impl/2026/2061/oj/eng" TargetMode="External"/><Relationship Id="rId11" Type="http://schemas.openxmlformats.org/officeDocument/2006/relationships/hyperlink" Target="https://eur-lex.europa.eu/eli/reg_impl/2026/2070/oj/eng" TargetMode="External"/><Relationship Id="rId12" Type="http://schemas.openxmlformats.org/officeDocument/2006/relationships/hyperlink" Target="https://eur-lex.europa.eu/eli/reg_impl/2026/2072/oj/eng" TargetMode="External"/><Relationship Id="rId13" Type="http://schemas.openxmlformats.org/officeDocument/2006/relationships/hyperlink" Target="https://eur-lex.europa.eu/eli/reg_impl/2026/2074/oj/eng" TargetMode="External"/><Relationship Id="rId14" Type="http://schemas.openxmlformats.org/officeDocument/2006/relationships/hyperlink" Target="https://eur-lex.europa.eu/eli/reg_impl/2026/2076/oj/eng" TargetMode="External"/><Relationship Id="rId15" Type="http://schemas.openxmlformats.org/officeDocument/2006/relationships/hyperlink" Target="https://eur-lex.europa.eu/eli/reg_impl/2026/2094/oj/eng" TargetMode="External"/><Relationship Id="rId16" Type="http://schemas.openxmlformats.org/officeDocument/2006/relationships/hyperlink" Target="https://xmsyj.moa.gov.cn/jcyj/202609/t20260916_6487731.htm" TargetMode="External"/><Relationship Id="rId21" Type="http://schemas.openxmlformats.org/officeDocument/2006/relationships/hyperlink" Target="https://finance.sina.com.cn/jjxw/2026-09-13/doc-inirrxsh4650924.shtml" TargetMode="External"/></Relationships>
</file>

<file path=word/_rels/fontTable.xml.rels><?xml version='1.0' encoding='UTF-8' standalone='yes'?>
<Relationships xmlns="http://schemas.openxmlformats.org/package/2006/relationships"><Relationship Id="portableFont1" Type="http://schemas.openxmlformats.org/officeDocument/2006/relationships/font" Target="fonts/NewsletterSansSC-Regular.odttf"/><Relationship Id="portableFont2" Type="http://schemas.openxmlformats.org/officeDocument/2006/relationships/font" Target="fonts/NewsletterSansSC-Bold.odttf"/></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Default Theme">
  <a:themeElements>
    <a:clrScheme name="SGS">
      <a:dk1>
        <a:sysClr val="windowText" lastClr="000000"/>
      </a:dk1>
      <a:lt1>
        <a:sysClr val="window" lastClr="FFFFFF"/>
      </a:lt1>
      <a:dk2>
        <a:srgbClr val="000000"/>
      </a:dk2>
      <a:lt2>
        <a:srgbClr val="EEECE1"/>
      </a:lt2>
      <a:accent1>
        <a:srgbClr val="363636"/>
      </a:accent1>
      <a:accent2>
        <a:srgbClr val="848685"/>
      </a:accent2>
      <a:accent3>
        <a:srgbClr val="FF6600"/>
      </a:accent3>
      <a:accent4>
        <a:srgbClr val="BCBCBC"/>
      </a:accent4>
      <a:accent5>
        <a:srgbClr val="FF9900"/>
      </a:accent5>
      <a:accent6>
        <a:srgbClr val="FF0000"/>
      </a:accent6>
      <a:hlink>
        <a:srgbClr val="FF0000"/>
      </a:hlink>
      <a:folHlink>
        <a:srgbClr val="BCBCBC"/>
      </a:folHlink>
    </a:clrScheme>
    <a:fontScheme name="default">
      <a:majorFont>
        <a:latin typeface="Newsletter Sans SC"/>
        <a:ea typeface="Newsletter Sans SC"/>
        <a:cs typeface="Newsletter Sans SC"/>
      </a:majorFont>
      <a:minorFont>
        <a:latin typeface="Newsletter Sans SC"/>
        <a:ea typeface="Newsletter Sans SC"/>
        <a:cs typeface="Newsletter Sans SC"/>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Newsletter Sans SC" pitchFamily="18"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smtClean="0">
            <a:ln>
              <a:noFill/>
            </a:ln>
            <a:solidFill>
              <a:schemeClr val="tx1"/>
            </a:solidFill>
            <a:effectLst/>
            <a:latin typeface="Newsletter Sans SC" pitchFamily="18" charset="0"/>
          </a:defRPr>
        </a:defPPr>
      </a:lstStyle>
    </a:lnDef>
  </a:objectDefaults>
  <a:extraClrSchemeLst>
    <a:extraClrScheme>
      <a:clrScheme name="default 1">
        <a:dk1>
          <a:srgbClr val="000000"/>
        </a:dk1>
        <a:lt1>
          <a:srgbClr val="FFFFFF"/>
        </a:lt1>
        <a:dk2>
          <a:srgbClr val="000000"/>
        </a:dk2>
        <a:lt2>
          <a:srgbClr val="808080"/>
        </a:lt2>
        <a:accent1>
          <a:srgbClr val="00CC99"/>
        </a:accent1>
        <a:accent2>
          <a:srgbClr val="3333CC"/>
        </a:accent2>
        <a:accent3>
          <a:srgbClr val="FFFFFF"/>
        </a:accent3>
        <a:accent4>
          <a:srgbClr val="000000"/>
        </a:accent4>
        <a:accent5>
          <a:srgbClr val="AAE2CA"/>
        </a:accent5>
        <a:accent6>
          <a:srgbClr val="2D2DB9"/>
        </a:accent6>
        <a:hlink>
          <a:srgbClr val="CCCCFF"/>
        </a:hlink>
        <a:folHlink>
          <a:srgbClr val="B2B2B2"/>
        </a:folHlink>
      </a:clrScheme>
      <a:clrMap bg1="lt1" tx1="dk1" bg2="lt2" tx2="dk2" accent1="accent1" accent2="accent2" accent3="accent3" accent4="accent4" accent5="accent5" accent6="accent6" hlink="hlink" folHlink="folHlink"/>
    </a:extraClrScheme>
    <a:extraClrScheme>
      <a:clrScheme name="default 2">
        <a:dk1>
          <a:srgbClr val="000000"/>
        </a:dk1>
        <a:lt1>
          <a:srgbClr val="FFFFFF"/>
        </a:lt1>
        <a:dk2>
          <a:srgbClr val="0000FF"/>
        </a:dk2>
        <a:lt2>
          <a:srgbClr val="FFFF00"/>
        </a:lt2>
        <a:accent1>
          <a:srgbClr val="FF9900"/>
        </a:accent1>
        <a:accent2>
          <a:srgbClr val="00FFFF"/>
        </a:accent2>
        <a:accent3>
          <a:srgbClr val="AAAAFF"/>
        </a:accent3>
        <a:accent4>
          <a:srgbClr val="DADADA"/>
        </a:accent4>
        <a:accent5>
          <a:srgbClr val="FFCAAA"/>
        </a:accent5>
        <a:accent6>
          <a:srgbClr val="00E7E7"/>
        </a:accent6>
        <a:hlink>
          <a:srgbClr val="FF0000"/>
        </a:hlink>
        <a:folHlink>
          <a:srgbClr val="969696"/>
        </a:folHlink>
      </a:clrScheme>
      <a:clrMap bg1="dk2" tx1="lt1" bg2="dk1" tx2="lt2" accent1="accent1" accent2="accent2" accent3="accent3" accent4="accent4" accent5="accent5" accent6="accent6" hlink="hlink" folHlink="folHlink"/>
    </a:extraClrScheme>
    <a:extraClrScheme>
      <a:clrScheme name="default 3">
        <a:dk1>
          <a:srgbClr val="000000"/>
        </a:dk1>
        <a:lt1>
          <a:srgbClr val="FFFFCC"/>
        </a:lt1>
        <a:dk2>
          <a:srgbClr val="808000"/>
        </a:dk2>
        <a:lt2>
          <a:srgbClr val="666633"/>
        </a:lt2>
        <a:accent1>
          <a:srgbClr val="339933"/>
        </a:accent1>
        <a:accent2>
          <a:srgbClr val="800000"/>
        </a:accent2>
        <a:accent3>
          <a:srgbClr val="FFFFE2"/>
        </a:accent3>
        <a:accent4>
          <a:srgbClr val="000000"/>
        </a:accent4>
        <a:accent5>
          <a:srgbClr val="ADCAAD"/>
        </a:accent5>
        <a:accent6>
          <a:srgbClr val="730000"/>
        </a:accent6>
        <a:hlink>
          <a:srgbClr val="0033CC"/>
        </a:hlink>
        <a:folHlink>
          <a:srgbClr val="FFCC66"/>
        </a:folHlink>
      </a:clrScheme>
      <a:clrMap bg1="lt1" tx1="dk1" bg2="lt2" tx2="dk2" accent1="accent1" accent2="accent2" accent3="accent3" accent4="accent4" accent5="accent5" accent6="accent6" hlink="hlink" folHlink="folHlink"/>
    </a:extraClrScheme>
    <a:extraClrScheme>
      <a:clrScheme name="default 4">
        <a:dk1>
          <a:srgbClr val="000000"/>
        </a:dk1>
        <a:lt1>
          <a:srgbClr val="FFFFFF"/>
        </a:lt1>
        <a:dk2>
          <a:srgbClr val="000000"/>
        </a:dk2>
        <a:lt2>
          <a:srgbClr val="333333"/>
        </a:lt2>
        <a:accent1>
          <a:srgbClr val="DDDDDD"/>
        </a:accent1>
        <a:accent2>
          <a:srgbClr val="808080"/>
        </a:accent2>
        <a:accent3>
          <a:srgbClr val="FFFFFF"/>
        </a:accent3>
        <a:accent4>
          <a:srgbClr val="000000"/>
        </a:accent4>
        <a:accent5>
          <a:srgbClr val="EBEBEB"/>
        </a:accent5>
        <a:accent6>
          <a:srgbClr val="737373"/>
        </a:accent6>
        <a:hlink>
          <a:srgbClr val="4D4D4D"/>
        </a:hlink>
        <a:folHlink>
          <a:srgbClr val="EAEAEA"/>
        </a:folHlink>
      </a:clrScheme>
      <a:clrMap bg1="lt1" tx1="dk1" bg2="lt2" tx2="dk2" accent1="accent1" accent2="accent2" accent3="accent3" accent4="accent4" accent5="accent5" accent6="accent6" hlink="hlink" folHlink="folHlink"/>
    </a:extraClrScheme>
    <a:extraClrScheme>
      <a:clrScheme name="default 5">
        <a:dk1>
          <a:srgbClr val="000000"/>
        </a:dk1>
        <a:lt1>
          <a:srgbClr val="FFFFFF"/>
        </a:lt1>
        <a:dk2>
          <a:srgbClr val="000000"/>
        </a:dk2>
        <a:lt2>
          <a:srgbClr val="808080"/>
        </a:lt2>
        <a:accent1>
          <a:srgbClr val="FFCC66"/>
        </a:accent1>
        <a:accent2>
          <a:srgbClr val="0000FF"/>
        </a:accent2>
        <a:accent3>
          <a:srgbClr val="FFFFFF"/>
        </a:accent3>
        <a:accent4>
          <a:srgbClr val="000000"/>
        </a:accent4>
        <a:accent5>
          <a:srgbClr val="FFE2B8"/>
        </a:accent5>
        <a:accent6>
          <a:srgbClr val="0000E7"/>
        </a:accent6>
        <a:hlink>
          <a:srgbClr val="CC00CC"/>
        </a:hlink>
        <a:folHlink>
          <a:srgbClr val="C0C0C0"/>
        </a:folHlink>
      </a:clrScheme>
      <a:clrMap bg1="lt1" tx1="dk1" bg2="lt2" tx2="dk2" accent1="accent1" accent2="accent2" accent3="accent3" accent4="accent4" accent5="accent5" accent6="accent6" hlink="hlink" folHlink="folHlink"/>
    </a:extraClrScheme>
    <a:extraClrScheme>
      <a:clrScheme name="default 6">
        <a:dk1>
          <a:srgbClr val="000000"/>
        </a:dk1>
        <a:lt1>
          <a:srgbClr val="FFFFFF"/>
        </a:lt1>
        <a:dk2>
          <a:srgbClr val="000000"/>
        </a:dk2>
        <a:lt2>
          <a:srgbClr val="808080"/>
        </a:lt2>
        <a:accent1>
          <a:srgbClr val="C0C0C0"/>
        </a:accent1>
        <a:accent2>
          <a:srgbClr val="0066FF"/>
        </a:accent2>
        <a:accent3>
          <a:srgbClr val="FFFFFF"/>
        </a:accent3>
        <a:accent4>
          <a:srgbClr val="000000"/>
        </a:accent4>
        <a:accent5>
          <a:srgbClr val="DCDCDC"/>
        </a:accent5>
        <a:accent6>
          <a:srgbClr val="005CE7"/>
        </a:accent6>
        <a:hlink>
          <a:srgbClr val="FF0000"/>
        </a:hlink>
        <a:folHlink>
          <a:srgbClr val="009900"/>
        </a:folHlink>
      </a:clrScheme>
      <a:clrMap bg1="lt1" tx1="dk1" bg2="lt2" tx2="dk2" accent1="accent1" accent2="accent2" accent3="accent3" accent4="accent4" accent5="accent5" accent6="accent6" hlink="hlink" folHlink="folHlink"/>
    </a:extraClrScheme>
    <a:extraClrScheme>
      <a:clrScheme name="default 7">
        <a:dk1>
          <a:srgbClr val="000000"/>
        </a:dk1>
        <a:lt1>
          <a:srgbClr val="FFFFFF"/>
        </a:lt1>
        <a:dk2>
          <a:srgbClr val="000000"/>
        </a:dk2>
        <a:lt2>
          <a:srgbClr val="808080"/>
        </a:lt2>
        <a:accent1>
          <a:srgbClr val="3399FF"/>
        </a:accent1>
        <a:accent2>
          <a:srgbClr val="99FFCC"/>
        </a:accent2>
        <a:accent3>
          <a:srgbClr val="FFFFFF"/>
        </a:accent3>
        <a:accent4>
          <a:srgbClr val="000000"/>
        </a:accent4>
        <a:accent5>
          <a:srgbClr val="ADCAFF"/>
        </a:accent5>
        <a:accent6>
          <a:srgbClr val="8AE7B9"/>
        </a:accent6>
        <a:hlink>
          <a:srgbClr val="CC00CC"/>
        </a:hlink>
        <a:folHlink>
          <a:srgbClr val="B2B2B2"/>
        </a:folHlink>
      </a:clrScheme>
      <a:clrMap bg1="lt1" tx1="dk1" bg2="lt2" tx2="dk2" accent1="accent1" accent2="accent2" accent3="accent3" accent4="accent4" accent5="accent5" accent6="accent6" hlink="hlink" folHlink="folHlink"/>
    </a:extraClrScheme>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768</Words>
  <Characters>4382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11</cp:revision>
  <cp:lastPrinted>2025-02-06T01:14:00Z</cp:lastPrinted>
  <dcterms:created xsi:type="dcterms:W3CDTF">2025-02-06T00:57:00Z</dcterms:created>
  <dcterms:modified xsi:type="dcterms:W3CDTF">2025-02-06T07:40:00Z</dcterms:modified>
</cp:coreProperties>
</file>