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14E5A" w14:textId="5E9DA155" w:rsidR="006C3F59" w:rsidRDefault="006C3F59" w:rsidP="006C3F59">
      <w:pPr>
        <w:shd w:val="clear" w:color="auto" w:fill="FFFFFF"/>
        <w:spacing w:before="0"/>
        <w:jc w:val="center"/>
        <w:outlineLvl w:val="0"/>
        <w:rPr>
          <w:rFonts w:ascii="黑体" w:eastAsia="黑体" w:hAnsi="黑体" w:cs="黑体" w:hint="eastAsia"/>
          <w:b/>
          <w:bCs/>
          <w:color w:val="000000"/>
          <w:kern w:val="36"/>
          <w:sz w:val="24"/>
          <w:lang w:val="en-US" w:eastAsia="zh-CN"/>
        </w:rPr>
      </w:pPr>
      <w:r w:rsidRPr="006C3F59">
        <w:rPr>
          <w:rFonts w:ascii="黑体" w:eastAsia="黑体" w:hAnsi="黑体" w:cs="黑体"/>
          <w:b/>
          <w:bCs/>
          <w:noProof/>
          <w:color w:val="000000"/>
          <w:kern w:val="36"/>
          <w:sz w:val="24"/>
          <w:lang w:eastAsia="zh-CN"/>
        </w:rPr>
        <w:drawing>
          <wp:inline distT="0" distB="0" distL="0" distR="0" wp14:anchorId="60431849" wp14:editId="0907A3A1">
            <wp:extent cx="3695700" cy="2428875"/>
            <wp:effectExtent l="0" t="0" r="0" b="9525"/>
            <wp:docPr id="5" name="Picture 4">
              <a:extLst xmlns:a="http://schemas.openxmlformats.org/drawingml/2006/main">
                <a:ext uri="{FF2B5EF4-FFF2-40B4-BE49-F238E27FC236}">
                  <a16:creationId xmlns:a16="http://schemas.microsoft.com/office/drawing/2014/main" id="{F7F566E8-9032-4A98-922B-EE5BC6E0C3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F7F566E8-9032-4A98-922B-EE5BC6E0C340}"/>
                        </a:ext>
                      </a:extLst>
                    </pic:cNvPr>
                    <pic:cNvPicPr>
                      <a:picLocks noChangeAspect="1"/>
                    </pic:cNvPicPr>
                  </pic:nvPicPr>
                  <pic:blipFill>
                    <a:blip r:embed="rId7"/>
                    <a:stretch>
                      <a:fillRect/>
                    </a:stretch>
                  </pic:blipFill>
                  <pic:spPr>
                    <a:xfrm>
                      <a:off x="0" y="0"/>
                      <a:ext cx="3695700" cy="2428875"/>
                    </a:xfrm>
                    <a:prstGeom prst="rect">
                      <a:avLst/>
                    </a:prstGeom>
                    <a:ln>
                      <a:noFill/>
                    </a:ln>
                    <a:effectLst>
                      <a:softEdge rad="112500"/>
                    </a:effectLst>
                  </pic:spPr>
                </pic:pic>
              </a:graphicData>
            </a:graphic>
          </wp:inline>
        </w:drawing>
      </w:r>
    </w:p>
    <w:p>
      <w:pPr>
        <w:keepNext w:val="0"/>
        <w:spacing w:before="0" w:after="80" w:line="276" w:lineRule="auto"/>
        <w:jc w:val="center"/>
      </w:pPr>
      <w:r>
        <w:rPr>
          <w:rFonts w:ascii="黑体" w:hAnsi="黑体" w:eastAsia="黑体" w:cs="黑体"/>
          <w:b/>
          <w:sz w:val="40"/>
        </w:rPr>
        <w:t>宠物食品与动物饲料行业周报</w:t>
      </w:r>
    </w:p>
    <w:p>
      <w:pPr>
        <w:keepNext w:val="0"/>
        <w:spacing w:before="0" w:after="160" w:line="276" w:lineRule="auto"/>
        <w:jc w:val="center"/>
      </w:pPr>
      <w:r>
        <w:rPr>
          <w:rFonts w:ascii="黑体" w:hAnsi="黑体" w:eastAsia="黑体" w:cs="黑体"/>
          <w:b/>
          <w:sz w:val="24"/>
        </w:rPr>
        <w:t>2026-09-19 至 2026-09-25</w:t>
      </w:r>
    </w:p>
    <w:p>
      <w:pPr>
        <w:keepNext w:val="0"/>
        <w:spacing w:before="0" w:after="160" w:line="276" w:lineRule="auto"/>
      </w:pPr>
      <w:r>
        <w:rPr>
          <w:rFonts w:ascii="宋体" w:hAnsi="宋体" w:eastAsia="宋体" w:cs="宋体"/>
          <w:b w:val="0"/>
          <w:sz w:val="19"/>
        </w:rPr>
        <w:t>本期仅纳入监管验证日、官方发布日期或来源披露日严格落在 2026-09-19 至 2026-09-25 的事项。官方通报、法规、征求意见和市场监测按证据性质分层表述。</w:t>
      </w:r>
    </w:p>
    <w:p>
      <w:pPr>
        <w:keepNext/>
        <w:spacing w:before="60" w:after="80" w:line="276" w:lineRule="auto"/>
      </w:pPr>
      <w:r>
        <w:rPr>
          <w:rFonts w:ascii="黑体" w:hAnsi="黑体" w:eastAsia="黑体" w:cs="黑体"/>
          <w:b/>
          <w:sz w:val="30"/>
        </w:rPr>
        <w:t>一、本周重点</w:t>
      </w:r>
    </w:p>
    <w:p>
      <w:pPr>
        <w:keepNext w:val="0"/>
        <w:spacing w:before="0" w:after="40" w:line="276" w:lineRule="auto"/>
      </w:pPr>
      <w:r>
        <w:rPr>
          <w:rFonts w:ascii="宋体" w:hAnsi="宋体" w:eastAsia="宋体" w:cs="宋体"/>
          <w:b w:val="0"/>
          <w:sz w:val="20"/>
        </w:rPr>
        <w:t>欧盟 RASFF 本期核得 5 条饲料相关通报：两项鱼粉 Salmonella、犬粮异物、饲料添加剂卡那霉素残留，以及鸡内脏/肝粉未申报猪源 DNA。应分别按病原、异物、药物残留和物种真实性控制。</w:t>
      </w:r>
    </w:p>
    <w:p>
      <w:pPr>
        <w:keepNext w:val="0"/>
        <w:spacing w:before="0" w:after="40" w:line="276" w:lineRule="auto"/>
      </w:pPr>
      <w:r>
        <w:rPr>
          <w:rFonts w:ascii="宋体" w:hAnsi="宋体" w:eastAsia="宋体" w:cs="宋体"/>
          <w:b w:val="0"/>
          <w:sz w:val="20"/>
        </w:rPr>
        <w:t>加拿大食品检验局于 9 月 23 日就液态酪乳和液态脱脂乳作为新饲料原料征求意见，拟作为能量和蛋白来源列入单一成分饲料；意见截止 2026 年 10 月 23 日，现阶段尚非最终批准。</w:t>
      </w:r>
    </w:p>
    <w:p>
      <w:pPr>
        <w:keepNext w:val="0"/>
        <w:spacing w:before="0" w:after="40" w:line="276" w:lineRule="auto"/>
      </w:pPr>
      <w:r>
        <w:rPr>
          <w:rFonts w:ascii="宋体" w:hAnsi="宋体" w:eastAsia="宋体" w:cs="宋体"/>
          <w:b w:val="0"/>
          <w:sz w:val="20"/>
        </w:rPr>
        <w:t>欧盟本期在 9 月 21、24 和 25 日发布 6 项饲料添加剂法规，涉及木聚糖酶、马郁兰精油、迷迭香精油、维生素 K3、薰衣草酊，以及犬猫用 L-半胱氨酸盐酸盐一水合物。</w:t>
      </w:r>
    </w:p>
    <w:p>
      <w:pPr>
        <w:keepNext w:val="0"/>
        <w:spacing w:before="0" w:after="40" w:line="276" w:lineRule="auto"/>
      </w:pPr>
      <w:r>
        <w:rPr>
          <w:rFonts w:ascii="宋体" w:hAnsi="宋体" w:eastAsia="宋体" w:cs="宋体"/>
          <w:b w:val="0"/>
          <w:sz w:val="20"/>
        </w:rPr>
        <w:t>中国官方监测显示玉米均价 2.45 元/公斤、豆粕 3.38 元/公斤；育肥猪、蛋鸡配合饲料环比均上涨 0.3%，肉鸡配合饲料持平。卫健委同期食品标准公告不等同于饲料准入或限量。</w:t>
      </w:r>
    </w:p>
    <w:p>
      <w:r>
        <w:br w:type="page"/>
      </w:r>
    </w:p>
    <w:p>
      <w:pPr>
        <w:keepNext/>
        <w:spacing w:before="60" w:after="80" w:line="276" w:lineRule="auto"/>
      </w:pPr>
      <w:r>
        <w:rPr>
          <w:rFonts w:ascii="黑体" w:hAnsi="黑体" w:eastAsia="黑体" w:cs="黑体"/>
          <w:b/>
          <w:sz w:val="30"/>
        </w:rPr>
        <w:t>二、本周风险与行动快表</w:t>
      </w:r>
    </w:p>
    <w:tbl>
      <w:tblPr>
        <w:tblStyle w:val="afb"/>
        <w:tblW w:type="dxa" w:w="9677"/>
        <w:jc w:val="center"/>
        <w:tblLayout w:type="fixed"/>
        <w:tblLook w:firstColumn="1" w:firstRow="1" w:lastColumn="0" w:lastRow="0" w:noHBand="0" w:noVBand="1" w:val="04A0"/>
      </w:tblPr>
      <w:tblGrid>
        <w:gridCol w:w="835"/>
        <w:gridCol w:w="1613"/>
        <w:gridCol w:w="1296"/>
        <w:gridCol w:w="2462"/>
        <w:gridCol w:w="792"/>
        <w:gridCol w:w="2678"/>
      </w:tblGrid>
      <w:tr>
        <w:trPr>
          <w:tblHeader w:val="true"/>
          <w:cantSplit/>
        </w:trPr>
        <w:tc>
          <w:tcPr>
            <w:tcW w:type="dxa" w:w="835"/>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日期</w:t>
            </w:r>
          </w:p>
        </w:tc>
        <w:tc>
          <w:tcPr>
            <w:tcW w:type="dxa" w:w="1613"/>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来源/编号</w:t>
            </w:r>
          </w:p>
        </w:tc>
        <w:tc>
          <w:tcPr>
            <w:tcW w:type="dxa" w:w="1296"/>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产品/对象</w:t>
            </w:r>
          </w:p>
        </w:tc>
        <w:tc>
          <w:tcPr>
            <w:tcW w:type="dxa" w:w="2462"/>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事项</w:t>
            </w:r>
          </w:p>
        </w:tc>
        <w:tc>
          <w:tcPr>
            <w:tcW w:type="dxa" w:w="792"/>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优先级</w:t>
            </w:r>
          </w:p>
        </w:tc>
        <w:tc>
          <w:tcPr>
            <w:tcW w:type="dxa" w:w="2678"/>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本周建议动作</w:t>
            </w:r>
          </w:p>
        </w:tc>
      </w:tr>
      <w:tr>
        <w:trPr>
          <w:cantSplit/>
        </w:trPr>
        <w:tc>
          <w:tcPr>
            <w:tcW w:type="dxa" w:w="835"/>
            <w:vAlign w:val="center"/>
            <w:tcMar>
              <w:top w:w="75" w:type="dxa"/>
              <w:start w:w="75" w:type="dxa"/>
              <w:bottom w:w="75" w:type="dxa"/>
              <w:end w:w="75" w:type="dxa"/>
            </w:tcMar>
          </w:tcPr>
          <w:p>
            <w:pPr>
              <w:spacing w:after="0" w:line="247" w:lineRule="auto"/>
              <w:jc w:val="center"/>
            </w:pPr>
            <w:r>
              <w:t>09-22</w:t>
            </w:r>
            <w:r>
              <w:br/>
              <w:t>09-23</w:t>
            </w:r>
          </w:p>
        </w:tc>
        <w:tc>
          <w:tcPr>
            <w:tcW w:type="dxa" w:w="1613"/>
            <w:vAlign w:val="center"/>
            <w:tcMar>
              <w:top w:w="75" w:type="dxa"/>
              <w:start w:w="75" w:type="dxa"/>
              <w:bottom w:w="75" w:type="dxa"/>
              <w:end w:w="75" w:type="dxa"/>
            </w:tcMar>
          </w:tcPr>
          <w:p>
            <w:pPr>
              <w:spacing w:after="0" w:line="247" w:lineRule="auto"/>
            </w:pPr>
            <w:r>
              <w:t>RASFF</w:t>
            </w:r>
            <w:r>
              <w:br/>
              <w:t>2026.8376 / .8421</w:t>
            </w:r>
          </w:p>
        </w:tc>
        <w:tc>
          <w:tcPr>
            <w:tcW w:type="dxa" w:w="1296"/>
            <w:vAlign w:val="center"/>
            <w:tcMar>
              <w:top w:w="75" w:type="dxa"/>
              <w:start w:w="75" w:type="dxa"/>
              <w:bottom w:w="75" w:type="dxa"/>
              <w:end w:w="75" w:type="dxa"/>
            </w:tcMar>
          </w:tcPr>
          <w:p>
            <w:pPr>
              <w:spacing w:after="0" w:line="247" w:lineRule="auto"/>
            </w:pPr>
            <w:r>
              <w:t>毛里塔尼亚 /</w:t>
            </w:r>
            <w:r>
              <w:br/>
              <w:t>摩洛哥鱼粉</w:t>
            </w:r>
          </w:p>
        </w:tc>
        <w:tc>
          <w:tcPr>
            <w:tcW w:type="dxa" w:w="2462"/>
            <w:vAlign w:val="center"/>
            <w:tcMar>
              <w:top w:w="75" w:type="dxa"/>
              <w:start w:w="75" w:type="dxa"/>
              <w:bottom w:w="75" w:type="dxa"/>
              <w:end w:w="75" w:type="dxa"/>
            </w:tcMar>
          </w:tcPr>
          <w:p>
            <w:pPr>
              <w:spacing w:after="0" w:line="247" w:lineRule="auto"/>
            </w:pPr>
            <w:r>
              <w:t>Salmonella；均在边境控制后已放行，分销范围有限。</w:t>
            </w:r>
          </w:p>
        </w:tc>
        <w:tc>
          <w:tcPr>
            <w:tcW w:type="dxa" w:w="792"/>
            <w:vAlign w:val="center"/>
            <w:tcMar>
              <w:top w:w="75" w:type="dxa"/>
              <w:start w:w="75" w:type="dxa"/>
              <w:bottom w:w="75" w:type="dxa"/>
              <w:end w:w="75" w:type="dxa"/>
            </w:tcMar>
          </w:tcPr>
          <w:p>
            <w:pPr>
              <w:spacing w:after="0" w:line="247" w:lineRule="auto"/>
              <w:jc w:val="center"/>
            </w:pPr>
            <w:r>
              <w:t>高</w:t>
            </w:r>
          </w:p>
        </w:tc>
        <w:tc>
          <w:tcPr>
            <w:tcW w:type="dxa" w:w="2678"/>
            <w:vAlign w:val="center"/>
            <w:tcMar>
              <w:top w:w="75" w:type="dxa"/>
              <w:start w:w="75" w:type="dxa"/>
              <w:bottom w:w="75" w:type="dxa"/>
              <w:end w:w="75" w:type="dxa"/>
            </w:tcMar>
          </w:tcPr>
          <w:p>
            <w:pPr>
              <w:spacing w:after="0" w:line="247" w:lineRule="auto"/>
            </w:pPr>
            <w:r>
              <w:t>隔离关联批次，执行病原持有放行并复核供应商热处理。</w:t>
            </w:r>
          </w:p>
        </w:tc>
      </w:tr>
      <w:tr>
        <w:trPr>
          <w:cantSplit/>
        </w:trPr>
        <w:tc>
          <w:tcPr>
            <w:tcW w:type="dxa" w:w="835"/>
            <w:vAlign w:val="center"/>
            <w:shd w:fill="F2F2F2"/>
            <w:tcMar>
              <w:top w:w="75" w:type="dxa"/>
              <w:start w:w="75" w:type="dxa"/>
              <w:bottom w:w="75" w:type="dxa"/>
              <w:end w:w="75" w:type="dxa"/>
            </w:tcMar>
          </w:tcPr>
          <w:p>
            <w:pPr>
              <w:spacing w:after="0" w:line="247" w:lineRule="auto"/>
              <w:jc w:val="center"/>
            </w:pPr>
            <w:r>
              <w:t>09-23</w:t>
            </w:r>
          </w:p>
        </w:tc>
        <w:tc>
          <w:tcPr>
            <w:tcW w:type="dxa" w:w="1613"/>
            <w:vAlign w:val="center"/>
            <w:shd w:fill="F2F2F2"/>
            <w:tcMar>
              <w:top w:w="75" w:type="dxa"/>
              <w:start w:w="75" w:type="dxa"/>
              <w:bottom w:w="75" w:type="dxa"/>
              <w:end w:w="75" w:type="dxa"/>
            </w:tcMar>
          </w:tcPr>
          <w:p>
            <w:pPr>
              <w:spacing w:after="0" w:line="247" w:lineRule="auto"/>
            </w:pPr>
            <w:r>
              <w:t>RASFF</w:t>
            </w:r>
            <w:r>
              <w:br/>
              <w:t>2026.8405</w:t>
            </w:r>
          </w:p>
        </w:tc>
        <w:tc>
          <w:tcPr>
            <w:tcW w:type="dxa" w:w="1296"/>
            <w:vAlign w:val="center"/>
            <w:shd w:fill="F2F2F2"/>
            <w:tcMar>
              <w:top w:w="75" w:type="dxa"/>
              <w:start w:w="75" w:type="dxa"/>
              <w:bottom w:w="75" w:type="dxa"/>
              <w:end w:w="75" w:type="dxa"/>
            </w:tcMar>
          </w:tcPr>
          <w:p>
            <w:pPr>
              <w:spacing w:after="0" w:line="247" w:lineRule="auto"/>
            </w:pPr>
            <w:r>
              <w:t>西班牙</w:t>
            </w:r>
            <w:r>
              <w:br/>
              <w:t>犬粮</w:t>
            </w:r>
          </w:p>
        </w:tc>
        <w:tc>
          <w:tcPr>
            <w:tcW w:type="dxa" w:w="2462"/>
            <w:vAlign w:val="center"/>
            <w:shd w:fill="F2F2F2"/>
            <w:tcMar>
              <w:top w:w="75" w:type="dxa"/>
              <w:start w:w="75" w:type="dxa"/>
              <w:bottom w:w="75" w:type="dxa"/>
              <w:end w:w="75" w:type="dxa"/>
            </w:tcMar>
          </w:tcPr>
          <w:p>
            <w:pPr>
              <w:spacing w:after="0" w:line="247" w:lineRule="auto"/>
            </w:pPr>
            <w:r>
              <w:t>消费者投诉触发的异物通报；线上销售。</w:t>
            </w:r>
          </w:p>
        </w:tc>
        <w:tc>
          <w:tcPr>
            <w:tcW w:type="dxa" w:w="792"/>
            <w:vAlign w:val="center"/>
            <w:shd w:fill="F2F2F2"/>
            <w:tcMar>
              <w:top w:w="75" w:type="dxa"/>
              <w:start w:w="75" w:type="dxa"/>
              <w:bottom w:w="75" w:type="dxa"/>
              <w:end w:w="75" w:type="dxa"/>
            </w:tcMar>
          </w:tcPr>
          <w:p>
            <w:pPr>
              <w:spacing w:after="0" w:line="247" w:lineRule="auto"/>
              <w:jc w:val="center"/>
            </w:pPr>
            <w:r>
              <w:t>高</w:t>
            </w:r>
          </w:p>
        </w:tc>
        <w:tc>
          <w:tcPr>
            <w:tcW w:type="dxa" w:w="2678"/>
            <w:vAlign w:val="center"/>
            <w:shd w:fill="F2F2F2"/>
            <w:tcMar>
              <w:top w:w="75" w:type="dxa"/>
              <w:start w:w="75" w:type="dxa"/>
              <w:bottom w:w="75" w:type="dxa"/>
              <w:end w:w="75" w:type="dxa"/>
            </w:tcMar>
          </w:tcPr>
          <w:p>
            <w:pPr>
              <w:spacing w:after="0" w:line="247" w:lineRule="auto"/>
            </w:pPr>
            <w:r>
              <w:t>核对投诉批次、异物材质、金属探测与渠道库存。</w:t>
            </w:r>
          </w:p>
        </w:tc>
      </w:tr>
      <w:tr>
        <w:trPr>
          <w:cantSplit/>
        </w:trPr>
        <w:tc>
          <w:tcPr>
            <w:tcW w:type="dxa" w:w="835"/>
            <w:vAlign w:val="center"/>
            <w:tcMar>
              <w:top w:w="75" w:type="dxa"/>
              <w:start w:w="75" w:type="dxa"/>
              <w:bottom w:w="75" w:type="dxa"/>
              <w:end w:w="75" w:type="dxa"/>
            </w:tcMar>
          </w:tcPr>
          <w:p>
            <w:pPr>
              <w:spacing w:after="0" w:line="247" w:lineRule="auto"/>
              <w:jc w:val="center"/>
            </w:pPr>
            <w:r>
              <w:t>09-22</w:t>
            </w:r>
          </w:p>
        </w:tc>
        <w:tc>
          <w:tcPr>
            <w:tcW w:type="dxa" w:w="1613"/>
            <w:vAlign w:val="center"/>
            <w:tcMar>
              <w:top w:w="75" w:type="dxa"/>
              <w:start w:w="75" w:type="dxa"/>
              <w:bottom w:w="75" w:type="dxa"/>
              <w:end w:w="75" w:type="dxa"/>
            </w:tcMar>
          </w:tcPr>
          <w:p>
            <w:pPr>
              <w:spacing w:after="0" w:line="247" w:lineRule="auto"/>
            </w:pPr>
            <w:r>
              <w:t>RASFF</w:t>
            </w:r>
            <w:r>
              <w:br/>
              <w:t>2026.8380</w:t>
            </w:r>
          </w:p>
        </w:tc>
        <w:tc>
          <w:tcPr>
            <w:tcW w:type="dxa" w:w="1296"/>
            <w:vAlign w:val="center"/>
            <w:tcMar>
              <w:top w:w="75" w:type="dxa"/>
              <w:start w:w="75" w:type="dxa"/>
              <w:bottom w:w="75" w:type="dxa"/>
              <w:end w:w="75" w:type="dxa"/>
            </w:tcMar>
          </w:tcPr>
          <w:p>
            <w:pPr>
              <w:spacing w:after="0" w:line="247" w:lineRule="auto"/>
            </w:pPr>
            <w:r>
              <w:t>中国来源</w:t>
            </w:r>
            <w:r>
              <w:br/>
              <w:t>饲料添加剂</w:t>
            </w:r>
          </w:p>
        </w:tc>
        <w:tc>
          <w:tcPr>
            <w:tcW w:type="dxa" w:w="2462"/>
            <w:vAlign w:val="center"/>
            <w:tcMar>
              <w:top w:w="75" w:type="dxa"/>
              <w:start w:w="75" w:type="dxa"/>
              <w:bottom w:w="75" w:type="dxa"/>
              <w:end w:w="75" w:type="dxa"/>
            </w:tcMar>
          </w:tcPr>
          <w:p>
            <w:pPr>
              <w:spacing w:after="0" w:line="247" w:lineRule="auto"/>
            </w:pPr>
            <w:r>
              <w:t>检出卡那霉素残留；欧盟判定潜在风险。</w:t>
            </w:r>
          </w:p>
        </w:tc>
        <w:tc>
          <w:tcPr>
            <w:tcW w:type="dxa" w:w="792"/>
            <w:vAlign w:val="center"/>
            <w:tcMar>
              <w:top w:w="75" w:type="dxa"/>
              <w:start w:w="75" w:type="dxa"/>
              <w:bottom w:w="75" w:type="dxa"/>
              <w:end w:w="75" w:type="dxa"/>
            </w:tcMar>
          </w:tcPr>
          <w:p>
            <w:pPr>
              <w:spacing w:after="0" w:line="247" w:lineRule="auto"/>
              <w:jc w:val="center"/>
            </w:pPr>
            <w:r>
              <w:t>高</w:t>
            </w:r>
          </w:p>
        </w:tc>
        <w:tc>
          <w:tcPr>
            <w:tcW w:type="dxa" w:w="2678"/>
            <w:vAlign w:val="center"/>
            <w:tcMar>
              <w:top w:w="75" w:type="dxa"/>
              <w:start w:w="75" w:type="dxa"/>
              <w:bottom w:w="75" w:type="dxa"/>
              <w:end w:w="75" w:type="dxa"/>
            </w:tcMar>
          </w:tcPr>
          <w:p>
            <w:pPr>
              <w:spacing w:after="0" w:line="247" w:lineRule="auto"/>
            </w:pPr>
            <w:r>
              <w:t>复核原料来源、交叉污染、药物残留和供应商保证。</w:t>
            </w:r>
          </w:p>
        </w:tc>
      </w:tr>
      <w:tr>
        <w:trPr>
          <w:cantSplit/>
        </w:trPr>
        <w:tc>
          <w:tcPr>
            <w:tcW w:type="dxa" w:w="835"/>
            <w:vAlign w:val="center"/>
            <w:shd w:fill="F2F2F2"/>
            <w:tcMar>
              <w:top w:w="75" w:type="dxa"/>
              <w:start w:w="75" w:type="dxa"/>
              <w:bottom w:w="75" w:type="dxa"/>
              <w:end w:w="75" w:type="dxa"/>
            </w:tcMar>
          </w:tcPr>
          <w:p>
            <w:pPr>
              <w:spacing w:after="0" w:line="247" w:lineRule="auto"/>
              <w:jc w:val="center"/>
            </w:pPr>
            <w:r>
              <w:t>09-21</w:t>
            </w:r>
          </w:p>
        </w:tc>
        <w:tc>
          <w:tcPr>
            <w:tcW w:type="dxa" w:w="1613"/>
            <w:vAlign w:val="center"/>
            <w:shd w:fill="F2F2F2"/>
            <w:tcMar>
              <w:top w:w="75" w:type="dxa"/>
              <w:start w:w="75" w:type="dxa"/>
              <w:bottom w:w="75" w:type="dxa"/>
              <w:end w:w="75" w:type="dxa"/>
            </w:tcMar>
          </w:tcPr>
          <w:p>
            <w:pPr>
              <w:spacing w:after="0" w:line="247" w:lineRule="auto"/>
            </w:pPr>
            <w:r>
              <w:t>RASFF</w:t>
            </w:r>
            <w:r>
              <w:br/>
              <w:t>2026.8360</w:t>
            </w:r>
          </w:p>
        </w:tc>
        <w:tc>
          <w:tcPr>
            <w:tcW w:type="dxa" w:w="1296"/>
            <w:vAlign w:val="center"/>
            <w:shd w:fill="F2F2F2"/>
            <w:tcMar>
              <w:top w:w="75" w:type="dxa"/>
              <w:start w:w="75" w:type="dxa"/>
              <w:bottom w:w="75" w:type="dxa"/>
              <w:end w:w="75" w:type="dxa"/>
            </w:tcMar>
          </w:tcPr>
          <w:p>
            <w:pPr>
              <w:spacing w:after="0" w:line="247" w:lineRule="auto"/>
            </w:pPr>
            <w:r>
              <w:t>巴西来源</w:t>
            </w:r>
            <w:r>
              <w:br/>
              <w:t>鸡内脏/肝粉</w:t>
            </w:r>
          </w:p>
        </w:tc>
        <w:tc>
          <w:tcPr>
            <w:tcW w:type="dxa" w:w="2462"/>
            <w:vAlign w:val="center"/>
            <w:shd w:fill="F2F2F2"/>
            <w:tcMar>
              <w:top w:w="75" w:type="dxa"/>
              <w:start w:w="75" w:type="dxa"/>
              <w:bottom w:w="75" w:type="dxa"/>
              <w:end w:w="75" w:type="dxa"/>
            </w:tcMar>
          </w:tcPr>
          <w:p>
            <w:pPr>
              <w:spacing w:after="0" w:line="247" w:lineRule="auto"/>
            </w:pPr>
            <w:r>
              <w:t>检出未申报猪源 DNA；涉及物种真实性与声明一致性。</w:t>
            </w:r>
          </w:p>
        </w:tc>
        <w:tc>
          <w:tcPr>
            <w:tcW w:type="dxa" w:w="792"/>
            <w:vAlign w:val="center"/>
            <w:shd w:fill="F2F2F2"/>
            <w:tcMar>
              <w:top w:w="75" w:type="dxa"/>
              <w:start w:w="75" w:type="dxa"/>
              <w:bottom w:w="75" w:type="dxa"/>
              <w:end w:w="75" w:type="dxa"/>
            </w:tcMar>
          </w:tcPr>
          <w:p>
            <w:pPr>
              <w:spacing w:after="0" w:line="247" w:lineRule="auto"/>
              <w:jc w:val="center"/>
            </w:pPr>
            <w:r>
              <w:t>中高</w:t>
            </w:r>
          </w:p>
        </w:tc>
        <w:tc>
          <w:tcPr>
            <w:tcW w:type="dxa" w:w="2678"/>
            <w:vAlign w:val="center"/>
            <w:shd w:fill="F2F2F2"/>
            <w:tcMar>
              <w:top w:w="75" w:type="dxa"/>
              <w:start w:w="75" w:type="dxa"/>
              <w:bottom w:w="75" w:type="dxa"/>
              <w:end w:w="75" w:type="dxa"/>
            </w:tcMar>
          </w:tcPr>
          <w:p>
            <w:pPr>
              <w:spacing w:after="0" w:line="247" w:lineRule="auto"/>
            </w:pPr>
            <w:r>
              <w:t>复核物种检测、配方声明、宗教/客户要求与追溯。</w:t>
            </w:r>
          </w:p>
        </w:tc>
      </w:tr>
      <w:tr>
        <w:trPr>
          <w:cantSplit/>
        </w:trPr>
        <w:tc>
          <w:tcPr>
            <w:tcW w:type="dxa" w:w="835"/>
            <w:vAlign w:val="center"/>
            <w:tcMar>
              <w:top w:w="75" w:type="dxa"/>
              <w:start w:w="75" w:type="dxa"/>
              <w:bottom w:w="75" w:type="dxa"/>
              <w:end w:w="75" w:type="dxa"/>
            </w:tcMar>
          </w:tcPr>
          <w:p>
            <w:pPr>
              <w:spacing w:after="0" w:line="247" w:lineRule="auto"/>
              <w:jc w:val="center"/>
            </w:pPr>
            <w:r>
              <w:t>09-23 至</w:t>
            </w:r>
            <w:r>
              <w:br/>
              <w:t>09-25</w:t>
            </w:r>
          </w:p>
        </w:tc>
        <w:tc>
          <w:tcPr>
            <w:tcW w:type="dxa" w:w="1613"/>
            <w:vAlign w:val="center"/>
            <w:tcMar>
              <w:top w:w="75" w:type="dxa"/>
              <w:start w:w="75" w:type="dxa"/>
              <w:bottom w:w="75" w:type="dxa"/>
              <w:end w:w="75" w:type="dxa"/>
            </w:tcMar>
          </w:tcPr>
          <w:p>
            <w:pPr>
              <w:spacing w:after="0" w:line="247" w:lineRule="auto"/>
            </w:pPr>
            <w:r>
              <w:t>CFIA /</w:t>
            </w:r>
            <w:r>
              <w:br/>
              <w:t>EUR-Lex</w:t>
            </w:r>
          </w:p>
        </w:tc>
        <w:tc>
          <w:tcPr>
            <w:tcW w:type="dxa" w:w="1296"/>
            <w:vAlign w:val="center"/>
            <w:tcMar>
              <w:top w:w="75" w:type="dxa"/>
              <w:start w:w="75" w:type="dxa"/>
              <w:bottom w:w="75" w:type="dxa"/>
              <w:end w:w="75" w:type="dxa"/>
            </w:tcMar>
          </w:tcPr>
          <w:p>
            <w:pPr>
              <w:spacing w:after="0" w:line="247" w:lineRule="auto"/>
            </w:pPr>
            <w:r>
              <w:t>新原料咨询 /</w:t>
            </w:r>
            <w:r>
              <w:br/>
              <w:t>添加剂法规</w:t>
            </w:r>
          </w:p>
        </w:tc>
        <w:tc>
          <w:tcPr>
            <w:tcW w:type="dxa" w:w="2462"/>
            <w:vAlign w:val="center"/>
            <w:tcMar>
              <w:top w:w="75" w:type="dxa"/>
              <w:start w:w="75" w:type="dxa"/>
              <w:bottom w:w="75" w:type="dxa"/>
              <w:end w:w="75" w:type="dxa"/>
            </w:tcMar>
          </w:tcPr>
          <w:p>
            <w:pPr>
              <w:spacing w:after="0" w:line="247" w:lineRule="auto"/>
            </w:pPr>
            <w:r>
              <w:t>加拿大征求意见；欧盟 6 项授权、续展或撤回节点。</w:t>
            </w:r>
          </w:p>
        </w:tc>
        <w:tc>
          <w:tcPr>
            <w:tcW w:type="dxa" w:w="792"/>
            <w:vAlign w:val="center"/>
            <w:tcMar>
              <w:top w:w="75" w:type="dxa"/>
              <w:start w:w="75" w:type="dxa"/>
              <w:bottom w:w="75" w:type="dxa"/>
              <w:end w:w="75" w:type="dxa"/>
            </w:tcMar>
          </w:tcPr>
          <w:p>
            <w:pPr>
              <w:spacing w:after="0" w:line="247" w:lineRule="auto"/>
              <w:jc w:val="center"/>
            </w:pPr>
            <w:r>
              <w:t>中高</w:t>
            </w:r>
          </w:p>
        </w:tc>
        <w:tc>
          <w:tcPr>
            <w:tcW w:type="dxa" w:w="2678"/>
            <w:vAlign w:val="center"/>
            <w:tcMar>
              <w:top w:w="75" w:type="dxa"/>
              <w:start w:w="75" w:type="dxa"/>
              <w:bottom w:w="75" w:type="dxa"/>
              <w:end w:w="75" w:type="dxa"/>
            </w:tcMar>
          </w:tcPr>
          <w:p>
            <w:pPr>
              <w:spacing w:after="0" w:line="247" w:lineRule="auto"/>
            </w:pPr>
            <w:r>
              <w:t>建立原料规格差距表和法规附件条件矩阵。</w:t>
            </w:r>
          </w:p>
        </w:tc>
      </w:tr>
    </w:tbl>
    <w:p>
      <w:pPr>
        <w:keepNext w:val="0"/>
        <w:spacing w:before="140" w:after="60" w:line="276" w:lineRule="auto"/>
      </w:pPr>
      <w:r>
        <w:rPr>
          <w:rFonts w:ascii="宋体" w:hAnsi="宋体" w:eastAsia="宋体" w:cs="宋体"/>
          <w:b w:val="0"/>
          <w:sz w:val="18"/>
        </w:rPr>
        <w:t>说明：RASFF 事项按欧盟官方公共字段表述；加拿大事项为征求意见，尚非最终批准；欧盟法规适用仍须逐项核对附件、目标动物、规格、标签和过渡期。</w:t>
      </w:r>
    </w:p>
    <w:p>
      <w:r>
        <w:br w:type="page"/>
      </w:r>
    </w:p>
    <w:p>
      <w:pPr>
        <w:keepNext/>
        <w:spacing w:before="60" w:after="80" w:line="276" w:lineRule="auto"/>
      </w:pPr>
      <w:r>
        <w:rPr>
          <w:rFonts w:ascii="黑体" w:hAnsi="黑体" w:eastAsia="黑体" w:cs="黑体"/>
          <w:b/>
          <w:sz w:val="30"/>
        </w:rPr>
        <w:t>三、重点资讯与管理建议</w:t>
      </w:r>
    </w:p>
    <w:p>
      <w:pPr>
        <w:keepNext/>
        <w:spacing w:before="40" w:after="60" w:line="276" w:lineRule="auto"/>
      </w:pPr>
      <w:r>
        <w:rPr>
          <w:rFonts w:ascii="黑体" w:hAnsi="黑体" w:eastAsia="黑体" w:cs="黑体"/>
          <w:b/>
          <w:sz w:val="22"/>
        </w:rPr>
        <w:t>1. RASFF 五条风险：鱼粉 Salmonella 形成双信号，犬粮异物、卡那霉素与物种真实性分别设防</w:t>
      </w:r>
    </w:p>
    <w:p>
      <w:pPr>
        <w:spacing w:after="60" w:line="276" w:lineRule="auto"/>
      </w:pPr>
      <w:r>
        <w:rPr>
          <w:rFonts w:ascii="黑体" w:hAnsi="黑体" w:eastAsia="黑体" w:cs="黑体"/>
          <w:b/>
          <w:sz w:val="20"/>
        </w:rPr>
        <w:t>日期依据：</w:t>
      </w:r>
      <w:r>
        <w:rPr>
          <w:rFonts w:ascii="宋体" w:hAnsi="宋体" w:eastAsia="宋体" w:cs="宋体"/>
          <w:b w:val="0"/>
          <w:sz w:val="20"/>
        </w:rPr>
        <w:t>RASFF 2026.8360、2026.8376、2026.8380、2026.8405 和 2026.8421 的欧盟验证日期为 2026-09-21 至 2026-09-23。</w:t>
      </w:r>
    </w:p>
    <w:p>
      <w:pPr>
        <w:spacing w:after="60" w:line="276" w:lineRule="auto"/>
      </w:pPr>
      <w:r>
        <w:rPr>
          <w:rFonts w:ascii="黑体" w:hAnsi="黑体" w:eastAsia="黑体" w:cs="黑体"/>
          <w:b/>
          <w:sz w:val="20"/>
        </w:rPr>
        <w:t>发生了什么：</w:t>
      </w:r>
      <w:r>
        <w:rPr>
          <w:rFonts w:ascii="宋体" w:hAnsi="宋体" w:eastAsia="宋体" w:cs="宋体"/>
          <w:b w:val="0"/>
          <w:sz w:val="20"/>
        </w:rPr>
        <w:t>2026.8376 和 2026.8421 分别涉及毛里塔尼亚、摩洛哥鱼粉 Salmonella；2026.8405 为西班牙犬粮异物，源于消费者投诉并涉及线上销售；2026.8380 为中国来源饲料添加剂检出卡那霉素残留；2026.8360 为巴西来源鸡内脏/肝粉检出未申报猪源 DNA。</w:t>
      </w:r>
    </w:p>
    <w:p>
      <w:pPr>
        <w:spacing w:after="60" w:line="276" w:lineRule="auto"/>
      </w:pPr>
      <w:r>
        <w:rPr>
          <w:rFonts w:ascii="黑体" w:hAnsi="黑体" w:eastAsia="黑体" w:cs="黑体"/>
          <w:b/>
          <w:sz w:val="20"/>
        </w:rPr>
        <w:t>管理判断：</w:t>
      </w:r>
      <w:r>
        <w:rPr>
          <w:rFonts w:ascii="宋体" w:hAnsi="宋体" w:eastAsia="宋体" w:cs="宋体"/>
          <w:b w:val="0"/>
          <w:sz w:val="20"/>
        </w:rPr>
        <w:t>同周两项鱼粉 Salmonella 说明高蛋白动物源原料仍需批次级病原控制；犬粮异物需要区分金属、玻璃或其他材质后回溯工序。卡那霉素和猪源 DNA 则分别指向交叉污染/药残与物种真实性，不应合并为一般供应商声明问题。</w:t>
      </w:r>
    </w:p>
    <w:p>
      <w:pPr>
        <w:spacing w:after="60" w:line="276" w:lineRule="auto"/>
      </w:pPr>
      <w:r>
        <w:rPr>
          <w:rFonts w:ascii="黑体" w:hAnsi="黑体" w:eastAsia="黑体" w:cs="黑体"/>
          <w:b/>
          <w:sz w:val="20"/>
        </w:rPr>
        <w:t>本周建议：</w:t>
      </w:r>
      <w:r>
        <w:rPr>
          <w:rFonts w:ascii="宋体" w:hAnsi="宋体" w:eastAsia="宋体" w:cs="宋体"/>
          <w:b w:val="0"/>
          <w:sz w:val="20"/>
        </w:rPr>
        <w:t>对两项鱼粉和犬粮关联批次先执行隔离、持有放行与渠道核对；对饲料添加剂增加抗菌药残留溯源，对动物副产品核对物种检测、标签与客户禁限用清单。</w:t>
      </w:r>
    </w:p>
    <w:p>
      <w:pPr>
        <w:spacing w:after="100" w:line="264" w:lineRule="auto"/>
      </w:pPr>
      <w:r>
        <w:rPr>
          <w:rFonts w:ascii="黑体" w:hAnsi="黑体" w:eastAsia="黑体" w:cs="黑体"/>
          <w:b/>
          <w:sz w:val="18"/>
        </w:rPr>
        <w:t>来源：</w:t>
      </w:r>
      <w:r>
        <w:rPr>
          <w:color w:val="0563C1"/>
          <w:u w:val="single"/>
          <w:rFonts w:eastAsia="宋体" w:ascii="宋体" w:hAnsi="宋体" w:cs="宋体"/>
          <w:sz w:val="18"/>
        </w:rPr>
        <w:t>S1-S5 RASFF 2026.8360、2026.8376、2026.8380、2026.8405、2026.8421</w:t>
      </w:r>
    </w:p>
    <w:p>
      <w:pPr>
        <w:keepNext/>
        <w:spacing w:before="40" w:after="60" w:line="276" w:lineRule="auto"/>
      </w:pPr>
      <w:r>
        <w:rPr>
          <w:rFonts w:ascii="黑体" w:hAnsi="黑体" w:eastAsia="黑体" w:cs="黑体"/>
          <w:b/>
          <w:sz w:val="22"/>
        </w:rPr>
        <w:t>2. 加拿大拟新增液态酪乳和液态脱脂乳饲料原料：征求意见阶段先核对冷链、微生物与标签能力</w:t>
      </w:r>
    </w:p>
    <w:p>
      <w:pPr>
        <w:spacing w:after="60" w:line="276" w:lineRule="auto"/>
      </w:pPr>
      <w:r>
        <w:rPr>
          <w:rFonts w:ascii="黑体" w:hAnsi="黑体" w:eastAsia="黑体" w:cs="黑体"/>
          <w:b/>
          <w:sz w:val="20"/>
        </w:rPr>
        <w:t>日期依据：</w:t>
      </w:r>
      <w:r>
        <w:rPr>
          <w:rFonts w:ascii="宋体" w:hAnsi="宋体" w:eastAsia="宋体" w:cs="宋体"/>
          <w:b w:val="0"/>
          <w:sz w:val="20"/>
        </w:rPr>
        <w:t>加拿大食品检验局咨询于 2026-09-23 开放，意见截止 2026-10-23。</w:t>
      </w:r>
    </w:p>
    <w:p>
      <w:pPr>
        <w:spacing w:after="60" w:line="276" w:lineRule="auto"/>
      </w:pPr>
      <w:r>
        <w:rPr>
          <w:rFonts w:ascii="黑体" w:hAnsi="黑体" w:eastAsia="黑体" w:cs="黑体"/>
          <w:b/>
          <w:sz w:val="20"/>
        </w:rPr>
        <w:t>发生了什么：</w:t>
      </w:r>
      <w:r>
        <w:rPr>
          <w:rFonts w:ascii="宋体" w:hAnsi="宋体" w:eastAsia="宋体" w:cs="宋体"/>
          <w:b w:val="0"/>
          <w:sz w:val="20"/>
        </w:rPr>
        <w:t>CFIA 建议将液态酪乳和液态脱脂乳作为新的单一成分饲料，定位为能量和蛋白来源。拟议条件包括巴氏杀菌、良好生产规范、无有害微生物、易腐提示，以及乳糖、粗脂肪、蛋白质和灰分等保证值。现阶段为咨询稿，不是最终批准。</w:t>
      </w:r>
    </w:p>
    <w:p>
      <w:pPr>
        <w:spacing w:after="60" w:line="276" w:lineRule="auto"/>
      </w:pPr>
      <w:r>
        <w:rPr>
          <w:rFonts w:ascii="黑体" w:hAnsi="黑体" w:eastAsia="黑体" w:cs="黑体"/>
          <w:b/>
          <w:sz w:val="20"/>
        </w:rPr>
        <w:t>管理判断：</w:t>
      </w:r>
      <w:r>
        <w:rPr>
          <w:rFonts w:ascii="宋体" w:hAnsi="宋体" w:eastAsia="宋体" w:cs="宋体"/>
          <w:b w:val="0"/>
          <w:sz w:val="20"/>
        </w:rPr>
        <w:t>液态乳副产物与现有干燥乳原料并非同一储运风险。商业可行性取决于冷链、保质期、微生物放行、运输半径和标签保证能力；即使最终获批，也不能把食品级合格直接等同于饲料用途合规。</w:t>
      </w:r>
    </w:p>
    <w:p>
      <w:pPr>
        <w:spacing w:after="60" w:line="276" w:lineRule="auto"/>
      </w:pPr>
      <w:r>
        <w:rPr>
          <w:rFonts w:ascii="黑体" w:hAnsi="黑体" w:eastAsia="黑体" w:cs="黑体"/>
          <w:b/>
          <w:sz w:val="20"/>
        </w:rPr>
        <w:t>本周建议：</w:t>
      </w:r>
      <w:r>
        <w:rPr>
          <w:rFonts w:ascii="宋体" w:hAnsi="宋体" w:eastAsia="宋体" w:cs="宋体"/>
          <w:b w:val="0"/>
          <w:sz w:val="20"/>
        </w:rPr>
        <w:t>面向加拿大市场的供应商建立成分定义—巴氏杀菌—微生物规格—冷链—标签保证值差距表；如计划使用或供应该类原料，在 10 月 23 日前形成技术意见和证据清单。</w:t>
      </w:r>
    </w:p>
    <w:p>
      <w:pPr>
        <w:spacing w:after="100" w:line="264" w:lineRule="auto"/>
      </w:pPr>
      <w:r>
        <w:rPr>
          <w:rFonts w:ascii="黑体" w:hAnsi="黑体" w:eastAsia="黑体" w:cs="黑体"/>
          <w:b/>
          <w:sz w:val="18"/>
        </w:rPr>
        <w:t>来源：</w:t>
      </w:r>
      <w:r>
        <w:rPr>
          <w:color w:val="0563C1"/>
          <w:u w:val="single"/>
          <w:rFonts w:eastAsia="宋体" w:ascii="宋体" w:hAnsi="宋体" w:cs="宋体"/>
          <w:sz w:val="18"/>
        </w:rPr>
        <w:t>S6 加拿大食品检验局</w:t>
      </w:r>
    </w:p>
    <w:p>
      <w:r>
        <w:br w:type="page"/>
      </w:r>
    </w:p>
    <w:p>
      <w:pPr>
        <w:keepNext/>
        <w:spacing w:before="60" w:after="80" w:line="276" w:lineRule="auto"/>
      </w:pPr>
      <w:r>
        <w:rPr>
          <w:rFonts w:ascii="黑体" w:hAnsi="黑体" w:eastAsia="黑体" w:cs="黑体"/>
          <w:b/>
          <w:sz w:val="30"/>
        </w:rPr>
        <w:t>四、国际法规与中国市场雷达</w:t>
      </w:r>
    </w:p>
    <w:p>
      <w:pPr>
        <w:keepNext/>
        <w:spacing w:before="40" w:after="60" w:line="276" w:lineRule="auto"/>
      </w:pPr>
      <w:r>
        <w:rPr>
          <w:rFonts w:ascii="黑体" w:hAnsi="黑体" w:eastAsia="黑体" w:cs="黑体"/>
          <w:b/>
          <w:sz w:val="22"/>
        </w:rPr>
        <w:t>3. 欧盟 6 项饲料添加剂法规连续发布：按物质、动物、规格与过渡期逐项映射</w:t>
      </w:r>
    </w:p>
    <w:p>
      <w:pPr>
        <w:spacing w:after="60" w:line="276" w:lineRule="auto"/>
      </w:pPr>
      <w:r>
        <w:rPr>
          <w:rFonts w:ascii="黑体" w:hAnsi="黑体" w:eastAsia="黑体" w:cs="黑体"/>
          <w:b/>
          <w:sz w:val="20"/>
        </w:rPr>
        <w:t>日期依据：</w:t>
      </w:r>
      <w:r>
        <w:rPr>
          <w:rFonts w:ascii="宋体" w:hAnsi="宋体" w:eastAsia="宋体" w:cs="宋体"/>
          <w:b w:val="0"/>
          <w:sz w:val="20"/>
        </w:rPr>
        <w:t>（EU）2026/2130 于 2026-09-21 刊载；（EU）2026/2110、2113、2115 于 09-24 刊载；（EU）2026/2120、2129 于 09-25 刊载。</w:t>
      </w:r>
    </w:p>
    <w:p>
      <w:pPr>
        <w:spacing w:after="60" w:line="276" w:lineRule="auto"/>
      </w:pPr>
      <w:r>
        <w:rPr>
          <w:rFonts w:ascii="黑体" w:hAnsi="黑体" w:eastAsia="黑体" w:cs="黑体"/>
          <w:b/>
          <w:sz w:val="20"/>
        </w:rPr>
        <w:t>发生了什么：</w:t>
      </w:r>
      <w:r>
        <w:rPr>
          <w:rFonts w:ascii="宋体" w:hAnsi="宋体" w:eastAsia="宋体" w:cs="宋体"/>
          <w:b w:val="0"/>
          <w:sz w:val="20"/>
        </w:rPr>
        <w:t>欧盟更新并扩展木聚糖酶授权，授权马郁兰精油和迷迭香精油，续展维生素 K3 两种形式；另授权一种薰衣草酊并撤回另一来源的薰衣草酊，续展犬猫用 L-半胱氨酸盐酸盐一水合物。</w:t>
      </w:r>
    </w:p>
    <w:p>
      <w:pPr>
        <w:spacing w:after="60" w:line="276" w:lineRule="auto"/>
      </w:pPr>
      <w:r>
        <w:rPr>
          <w:rFonts w:ascii="黑体" w:hAnsi="黑体" w:eastAsia="黑体" w:cs="黑体"/>
          <w:b/>
          <w:sz w:val="20"/>
        </w:rPr>
        <w:t>管理判断：</w:t>
      </w:r>
      <w:r>
        <w:rPr>
          <w:rFonts w:ascii="宋体" w:hAnsi="宋体" w:eastAsia="宋体" w:cs="宋体"/>
          <w:b w:val="0"/>
          <w:sz w:val="20"/>
        </w:rPr>
        <w:t>名称相近的植物制剂可能具有不同植物种、制备方式和规格，不能互换；续展与新授权还会带来旧授权废止、过渡期和标签/SDS更新。犬猫专用与所有动物种类的授权范围也必须分开维护。</w:t>
      </w:r>
    </w:p>
    <w:p>
      <w:pPr>
        <w:spacing w:after="60" w:line="276" w:lineRule="auto"/>
      </w:pPr>
      <w:r>
        <w:rPr>
          <w:rFonts w:ascii="黑体" w:hAnsi="黑体" w:eastAsia="黑体" w:cs="黑体"/>
          <w:b/>
          <w:sz w:val="20"/>
        </w:rPr>
        <w:t>本周建议：</w:t>
      </w:r>
      <w:r>
        <w:rPr>
          <w:rFonts w:ascii="宋体" w:hAnsi="宋体" w:eastAsia="宋体" w:cs="宋体"/>
          <w:b w:val="0"/>
          <w:sz w:val="20"/>
        </w:rPr>
        <w:t>建立“法规—添加剂身份—目标动物—功能类别—规格/杂质—最低/最高含量—标签—作业者防护—过渡期”矩阵；优先筛查现有精油、维生素 K3、酶制剂和犬猫氨基酸产品。</w:t>
      </w:r>
    </w:p>
    <w:p>
      <w:pPr>
        <w:spacing w:after="100" w:line="264" w:lineRule="auto"/>
      </w:pPr>
      <w:r>
        <w:rPr>
          <w:rFonts w:ascii="黑体" w:hAnsi="黑体" w:eastAsia="黑体" w:cs="黑体"/>
          <w:b/>
          <w:sz w:val="18"/>
        </w:rPr>
        <w:t>来源：</w:t>
      </w:r>
      <w:r>
        <w:rPr>
          <w:color w:val="0563C1"/>
          <w:u w:val="single"/>
          <w:rFonts w:eastAsia="宋体" w:ascii="宋体" w:hAnsi="宋体" w:cs="宋体"/>
          <w:sz w:val="18"/>
        </w:rPr>
        <w:t>S7-S12 EUR-Lex</w:t>
      </w:r>
    </w:p>
    <w:p>
      <w:pPr>
        <w:keepNext/>
        <w:spacing w:before="40" w:after="60" w:line="276" w:lineRule="auto"/>
      </w:pPr>
      <w:r>
        <w:rPr>
          <w:rFonts w:ascii="黑体" w:hAnsi="黑体" w:eastAsia="黑体" w:cs="黑体"/>
          <w:b/>
          <w:sz w:val="22"/>
        </w:rPr>
        <w:t>4. 中国饲料价格：豆粕小幅回升，配合饲料出现分化</w:t>
      </w:r>
    </w:p>
    <w:p>
      <w:pPr>
        <w:spacing w:after="60" w:line="276" w:lineRule="auto"/>
      </w:pPr>
      <w:r>
        <w:rPr>
          <w:rFonts w:ascii="黑体" w:hAnsi="黑体" w:eastAsia="黑体" w:cs="黑体"/>
          <w:b/>
          <w:sz w:val="20"/>
        </w:rPr>
        <w:t>日期依据：</w:t>
      </w:r>
      <w:r>
        <w:rPr>
          <w:rFonts w:ascii="宋体" w:hAnsi="宋体" w:eastAsia="宋体" w:cs="宋体"/>
          <w:b w:val="0"/>
          <w:sz w:val="20"/>
        </w:rPr>
        <w:t>农业农村部畜牧兽医局于 2026-09-22 发布 9 月第 3 周监测。</w:t>
      </w:r>
    </w:p>
    <w:p>
      <w:pPr>
        <w:spacing w:after="60" w:line="276" w:lineRule="auto"/>
      </w:pPr>
      <w:r>
        <w:rPr>
          <w:rFonts w:ascii="黑体" w:hAnsi="黑体" w:eastAsia="黑体" w:cs="黑体"/>
          <w:b/>
          <w:sz w:val="20"/>
        </w:rPr>
        <w:t>发生了什么：</w:t>
      </w:r>
      <w:r>
        <w:rPr>
          <w:rFonts w:ascii="宋体" w:hAnsi="宋体" w:eastAsia="宋体" w:cs="宋体"/>
          <w:b w:val="0"/>
          <w:sz w:val="20"/>
        </w:rPr>
        <w:t>全国玉米平均价格 2.45 元/公斤，环比下降 0.4%、同比下降 1.6%；豆粕 3.38 元/公斤，环比上涨 0.6%、同比上涨 2.4%。育肥猪和蛋鸡配合饲料均环比上涨 0.3%，肉鸡配合饲料持平。</w:t>
      </w:r>
    </w:p>
    <w:p>
      <w:pPr>
        <w:spacing w:after="60" w:line="276" w:lineRule="auto"/>
      </w:pPr>
      <w:r>
        <w:rPr>
          <w:rFonts w:ascii="黑体" w:hAnsi="黑体" w:eastAsia="黑体" w:cs="黑体"/>
          <w:b/>
          <w:sz w:val="20"/>
        </w:rPr>
        <w:t>管理判断：</w:t>
      </w:r>
      <w:r>
        <w:rPr>
          <w:rFonts w:ascii="宋体" w:hAnsi="宋体" w:eastAsia="宋体" w:cs="宋体"/>
          <w:b w:val="0"/>
          <w:sz w:val="20"/>
        </w:rPr>
        <w:t>豆粕同比和环比同时回升，而玉米继续走弱，蛋白原料与能量原料成本方向分化。全国集贸均价用于趋势判断，不代表企业到厂价、期货套保成本或宠物食品专用原料报价。</w:t>
      </w:r>
    </w:p>
    <w:p>
      <w:pPr>
        <w:spacing w:after="60" w:line="276" w:lineRule="auto"/>
      </w:pPr>
      <w:r>
        <w:rPr>
          <w:rFonts w:ascii="黑体" w:hAnsi="黑体" w:eastAsia="黑体" w:cs="黑体"/>
          <w:b/>
          <w:sz w:val="20"/>
        </w:rPr>
        <w:t>本周建议：</w:t>
      </w:r>
      <w:r>
        <w:rPr>
          <w:rFonts w:ascii="宋体" w:hAnsi="宋体" w:eastAsia="宋体" w:cs="宋体"/>
          <w:b w:val="0"/>
          <w:sz w:val="20"/>
        </w:rPr>
        <w:t>更新玉米/豆粕价差和蛋白配方敏感性，分别模拟豆粕再上涨 3%、5% 对不同配方的影响；结合实际到厂价、库存天数和替代原料营养约束，不以全国均价直接触发采购。</w:t>
      </w:r>
    </w:p>
    <w:p>
      <w:pPr>
        <w:spacing w:after="100" w:line="264" w:lineRule="auto"/>
      </w:pPr>
      <w:r>
        <w:rPr>
          <w:rFonts w:ascii="黑体" w:hAnsi="黑体" w:eastAsia="黑体" w:cs="黑体"/>
          <w:b/>
          <w:sz w:val="18"/>
        </w:rPr>
        <w:t>来源：</w:t>
      </w:r>
      <w:r>
        <w:rPr>
          <w:color w:val="0563C1"/>
          <w:u w:val="single"/>
          <w:rFonts w:eastAsia="宋体" w:ascii="宋体" w:hAnsi="宋体" w:cs="宋体"/>
          <w:sz w:val="18"/>
        </w:rPr>
        <w:t>S13 农业农村部畜牧兽医局</w:t>
      </w:r>
    </w:p>
    <w:p>
      <w:pPr>
        <w:keepNext/>
        <w:spacing w:before="60" w:after="80" w:line="276" w:lineRule="auto"/>
      </w:pPr>
      <w:r>
        <w:rPr>
          <w:rFonts w:ascii="黑体" w:hAnsi="黑体" w:eastAsia="黑体" w:cs="黑体"/>
          <w:b/>
          <w:sz w:val="30"/>
        </w:rPr>
        <w:t>五、中国市场补充观察</w:t>
      </w:r>
    </w:p>
    <w:p>
      <w:pPr>
        <w:spacing w:after="60" w:line="276" w:lineRule="auto"/>
      </w:pPr>
      <w:r>
        <w:rPr>
          <w:rFonts w:ascii="黑体" w:hAnsi="黑体" w:eastAsia="黑体" w:cs="黑体"/>
          <w:b/>
          <w:sz w:val="20"/>
        </w:rPr>
        <w:t>监管与官方监测：</w:t>
      </w:r>
      <w:r>
        <w:rPr>
          <w:rFonts w:ascii="宋体" w:hAnsi="宋体" w:eastAsia="宋体" w:cs="宋体"/>
          <w:b w:val="0"/>
          <w:sz w:val="20"/>
        </w:rPr>
        <w:t>农业农村部 9 月 22 日监测显示玉米 2.45 元/公斤、豆粕 3.38 元/公斤；本期未发现新的宠物食品/饲料召回或全国性合规措施达到入选阈值。</w:t>
      </w:r>
    </w:p>
    <w:p>
      <w:pPr>
        <w:spacing w:after="60" w:line="276" w:lineRule="auto"/>
      </w:pPr>
      <w:r>
        <w:rPr>
          <w:rFonts w:ascii="黑体" w:hAnsi="黑体" w:eastAsia="黑体" w:cs="黑体"/>
          <w:b/>
          <w:sz w:val="20"/>
        </w:rPr>
        <w:t>标准与技术规范：</w:t>
      </w:r>
      <w:r>
        <w:rPr>
          <w:rFonts w:ascii="宋体" w:hAnsi="宋体" w:eastAsia="宋体" w:cs="宋体"/>
          <w:b w:val="0"/>
          <w:sz w:val="20"/>
        </w:rPr>
        <w:t>卫健委 9 月 22 日发布 50 项食品安全国家标准及修改单，但该批为人用食品标准，不能直接作为饲料准入、饲料限量或检测判定依据；本期未见新的宠物食品或饲料标准节点入选。</w:t>
      </w:r>
    </w:p>
    <w:p>
      <w:pPr>
        <w:spacing w:after="60" w:line="276" w:lineRule="auto"/>
      </w:pPr>
      <w:r>
        <w:rPr>
          <w:rFonts w:ascii="黑体" w:hAnsi="黑体" w:eastAsia="黑体" w:cs="黑体"/>
          <w:b/>
          <w:sz w:val="20"/>
        </w:rPr>
        <w:t>产能与竞争：</w:t>
      </w:r>
      <w:r>
        <w:rPr>
          <w:rFonts w:ascii="宋体" w:hAnsi="宋体" w:eastAsia="宋体" w:cs="宋体"/>
          <w:b w:val="0"/>
          <w:sz w:val="20"/>
        </w:rPr>
        <w:t>国内官方、协会与科研机构入口均已核验，本期未发现具备一手项目文件且达到客户行动阈值的新增产能或竞争事件。</w:t>
      </w:r>
    </w:p>
    <w:p>
      <w:pPr>
        <w:spacing w:after="60" w:line="276" w:lineRule="auto"/>
      </w:pPr>
      <w:r>
        <w:rPr>
          <w:rFonts w:ascii="黑体" w:hAnsi="黑体" w:eastAsia="黑体" w:cs="黑体"/>
          <w:b/>
          <w:sz w:val="20"/>
        </w:rPr>
        <w:t>产品与消费：</w:t>
      </w:r>
      <w:r>
        <w:rPr>
          <w:rFonts w:ascii="宋体" w:hAnsi="宋体" w:eastAsia="宋体" w:cs="宋体"/>
          <w:b w:val="0"/>
          <w:sz w:val="20"/>
        </w:rPr>
        <w:t>新品与趋势报道以专业媒体线索为主，缺少监管、企业数据或可靠销量证据交叉验证，本期不据此外推市场份额或消费趋势。</w:t>
      </w:r>
    </w:p>
    <w:p>
      <w:pPr>
        <w:spacing w:after="60" w:line="276" w:lineRule="auto"/>
      </w:pPr>
      <w:r>
        <w:rPr>
          <w:rFonts w:ascii="黑体" w:hAnsi="黑体" w:eastAsia="黑体" w:cs="黑体"/>
          <w:b/>
          <w:sz w:val="20"/>
        </w:rPr>
        <w:t>高关注消费风险：</w:t>
      </w:r>
      <w:r>
        <w:rPr>
          <w:rFonts w:ascii="宋体" w:hAnsi="宋体" w:eastAsia="宋体" w:cs="宋体"/>
          <w:b w:val="0"/>
          <w:sz w:val="20"/>
        </w:rPr>
        <w:t>本期官方召回、监管抽检与可交叉验证消费信号均未出现新的中国宠物食品节点；不以单一投诉或旧事件填充。</w:t>
      </w:r>
    </w:p>
    <w:p>
      <w:pPr>
        <w:keepNext/>
        <w:spacing w:before="60" w:after="80" w:line="276" w:lineRule="auto"/>
      </w:pPr>
      <w:r>
        <w:rPr>
          <w:rFonts w:ascii="黑体" w:hAnsi="黑体" w:eastAsia="黑体" w:cs="黑体"/>
          <w:b/>
          <w:sz w:val="30"/>
        </w:rPr>
        <w:t>六、本周建议启动的管理动作</w:t>
      </w:r>
    </w:p>
    <w:p>
      <w:pPr>
        <w:keepNext w:val="0"/>
        <w:spacing w:before="0" w:after="40" w:line="276" w:lineRule="auto"/>
      </w:pPr>
      <w:r>
        <w:rPr>
          <w:rFonts w:ascii="宋体" w:hAnsi="宋体" w:eastAsia="宋体" w:cs="宋体"/>
          <w:b w:val="0"/>
          <w:sz w:val="20"/>
        </w:rPr>
        <w:t>1. 对两项鱼粉 Salmonella 和犬粮异物涉及的批次完成隔离、持有放行、渠道核对、环境/成品复检与根因调查。</w:t>
      </w:r>
    </w:p>
    <w:p>
      <w:pPr>
        <w:keepNext w:val="0"/>
        <w:spacing w:before="0" w:after="40" w:line="276" w:lineRule="auto"/>
      </w:pPr>
      <w:r>
        <w:rPr>
          <w:rFonts w:ascii="宋体" w:hAnsi="宋体" w:eastAsia="宋体" w:cs="宋体"/>
          <w:b w:val="0"/>
          <w:sz w:val="20"/>
        </w:rPr>
        <w:t>2. 对卡那霉素残留和未申报猪源 DNA 分别建立药物残留交叉污染与物种真实性专项复核，不能仅依赖一般供应商承诺。</w:t>
      </w:r>
    </w:p>
    <w:p>
      <w:pPr>
        <w:keepNext w:val="0"/>
        <w:spacing w:before="0" w:after="40" w:line="276" w:lineRule="auto"/>
      </w:pPr>
      <w:r>
        <w:rPr>
          <w:rFonts w:ascii="宋体" w:hAnsi="宋体" w:eastAsia="宋体" w:cs="宋体"/>
          <w:b w:val="0"/>
          <w:sz w:val="20"/>
        </w:rPr>
        <w:t>3. 对加拿大液态酪乳/脱脂乳咨询建立冷链、巴氏杀菌、微生物、标签与保质期差距表，并在 10 月 23 日前决定是否提交意见。</w:t>
      </w:r>
    </w:p>
    <w:p>
      <w:pPr>
        <w:keepNext w:val="0"/>
        <w:spacing w:before="0" w:after="40" w:line="276" w:lineRule="auto"/>
      </w:pPr>
      <w:r>
        <w:rPr>
          <w:rFonts w:ascii="宋体" w:hAnsi="宋体" w:eastAsia="宋体" w:cs="宋体"/>
          <w:b w:val="0"/>
          <w:sz w:val="20"/>
        </w:rPr>
        <w:t>4. 对欧盟 6 项添加剂法规逐项核对物质身份、目标动物、规格、标签/SDS、过渡期和旧授权废止，优先处理犬猫专用及植物制剂。</w:t>
      </w:r>
    </w:p>
    <w:p>
      <w:pPr>
        <w:keepNext w:val="0"/>
        <w:spacing w:before="0" w:after="40" w:line="276" w:lineRule="auto"/>
      </w:pPr>
      <w:r>
        <w:rPr>
          <w:rFonts w:ascii="宋体" w:hAnsi="宋体" w:eastAsia="宋体" w:cs="宋体"/>
          <w:b w:val="0"/>
          <w:sz w:val="20"/>
        </w:rPr>
        <w:t>5. 更新玉米/豆粕价差与蛋白配方成本敏感性；卫健委食品标准只作食品链技术观察，不转写为饲料准入或限量。</w:t>
      </w:r>
    </w:p>
    <w:p>
      <w:pPr>
        <w:keepNext/>
        <w:spacing w:before="60" w:after="80" w:line="276" w:lineRule="auto"/>
      </w:pPr>
      <w:r>
        <w:rPr>
          <w:rFonts w:ascii="黑体" w:hAnsi="黑体" w:eastAsia="黑体" w:cs="黑体"/>
          <w:b/>
          <w:sz w:val="30"/>
        </w:rPr>
        <w:t>七、信息来源与使用说明</w:t>
      </w:r>
    </w:p>
    <w:tbl>
      <w:tblPr>
        <w:tblStyle w:val="afb"/>
        <w:tblW w:type="dxa" w:w="8957"/>
        <w:jc w:val="center"/>
        <w:tblLayout w:type="fixed"/>
        <w:tblLook w:firstColumn="1" w:firstRow="1" w:lastColumn="0" w:lastRow="0" w:noHBand="0" w:noVBand="1" w:val="04A0"/>
      </w:tblPr>
      <w:tblGrid>
        <w:gridCol w:w="1224"/>
        <w:gridCol w:w="4392"/>
        <w:gridCol w:w="1872"/>
        <w:gridCol w:w="1469"/>
      </w:tblGrid>
      <w:tr>
        <w:trPr>
          <w:tblHeader w:val="true"/>
          <w:cantSplit/>
        </w:trPr>
        <w:tc>
          <w:tcPr>
            <w:tcW w:type="dxa" w:w="1224"/>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编号/日期</w:t>
            </w:r>
          </w:p>
        </w:tc>
        <w:tc>
          <w:tcPr>
            <w:tcW w:type="dxa" w:w="4392"/>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来源与主题</w:t>
            </w:r>
          </w:p>
        </w:tc>
        <w:tc>
          <w:tcPr>
            <w:tcW w:type="dxa" w:w="1872"/>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性质</w:t>
            </w:r>
          </w:p>
        </w:tc>
        <w:tc>
          <w:tcPr>
            <w:tcW w:type="dxa" w:w="1469"/>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链接</w:t>
            </w:r>
          </w:p>
        </w:tc>
      </w:tr>
      <w:tr>
        <w:trPr>
          <w:cantSplit/>
        </w:trPr>
        <w:tc>
          <w:tcPr>
            <w:tcW w:type="dxa" w:w="1224"/>
            <w:vAlign w:val="center"/>
            <w:tcMar>
              <w:top w:w="75" w:type="dxa"/>
              <w:start w:w="75" w:type="dxa"/>
              <w:bottom w:w="75" w:type="dxa"/>
              <w:end w:w="75" w:type="dxa"/>
            </w:tcMar>
          </w:tcPr>
          <w:p>
            <w:pPr>
              <w:spacing w:after="0" w:line="247" w:lineRule="auto"/>
              <w:jc w:val="center"/>
            </w:pPr>
            <w:r>
              <w:t>S1</w:t>
            </w:r>
            <w:r>
              <w:br/>
              <w:t>2026-09-21</w:t>
            </w:r>
          </w:p>
        </w:tc>
        <w:tc>
          <w:tcPr>
            <w:tcW w:type="dxa" w:w="4392"/>
            <w:vAlign w:val="center"/>
            <w:tcMar>
              <w:top w:w="75" w:type="dxa"/>
              <w:start w:w="75" w:type="dxa"/>
              <w:bottom w:w="75" w:type="dxa"/>
              <w:end w:w="75" w:type="dxa"/>
            </w:tcMar>
          </w:tcPr>
          <w:p>
            <w:pPr>
              <w:spacing w:after="0" w:line="247" w:lineRule="auto"/>
            </w:pPr>
            <w:r>
              <w:t>RASFF 2026.8360</w:t>
            </w:r>
            <w:r>
              <w:br/>
              <w:t>鸡内脏/肝粉未申报猪源 DNA</w:t>
            </w:r>
          </w:p>
        </w:tc>
        <w:tc>
          <w:tcPr>
            <w:tcW w:type="dxa" w:w="1872"/>
            <w:vAlign w:val="center"/>
            <w:tcMar>
              <w:top w:w="75" w:type="dxa"/>
              <w:start w:w="75" w:type="dxa"/>
              <w:bottom w:w="75" w:type="dxa"/>
              <w:end w:w="75" w:type="dxa"/>
            </w:tcMar>
          </w:tcPr>
          <w:p>
            <w:pPr>
              <w:spacing w:after="0" w:line="247" w:lineRule="auto"/>
            </w:pPr>
            <w:r>
              <w:t>欧盟官方通报</w:t>
            </w:r>
          </w:p>
        </w:tc>
        <w:tc>
          <w:tcPr>
            <w:tcW w:type="dxa" w:w="1469"/>
            <w:vAlign w:val="center"/>
            <w:tcMar>
              <w:top w:w="75" w:type="dxa"/>
              <w:start w:w="75" w:type="dxa"/>
              <w:bottom w:w="75" w:type="dxa"/>
              <w:end w:w="75" w:type="dxa"/>
            </w:tcMar>
          </w:tcPr>
          <w:p>
            <w:pPr>
              <w:spacing w:after="0" w:line="240" w:lineRule="auto"/>
              <w:jc w:val="center"/>
            </w:pPr>
            <w:r/>
            <w:hyperlink r:id="rId24">
              <w:r>
                <w:rPr>
                  <w:color w:val="0563C1"/>
                  <w:u w:val="single"/>
                  <w:rFonts w:eastAsia="宋体" w:ascii="宋体" w:hAnsi="宋体" w:cs="宋体"/>
                  <w:sz w:val="15"/>
                </w:rPr>
                <w:t>打开来源</w:t>
              </w:r>
            </w:hyperlink>
          </w:p>
        </w:tc>
      </w:tr>
      <w:tr>
        <w:trPr>
          <w:cantSplit/>
        </w:trPr>
        <w:tc>
          <w:tcPr>
            <w:tcW w:type="dxa" w:w="1224"/>
            <w:vAlign w:val="center"/>
            <w:shd w:fill="F2F2F2"/>
            <w:tcMar>
              <w:top w:w="75" w:type="dxa"/>
              <w:start w:w="75" w:type="dxa"/>
              <w:bottom w:w="75" w:type="dxa"/>
              <w:end w:w="75" w:type="dxa"/>
            </w:tcMar>
          </w:tcPr>
          <w:p>
            <w:pPr>
              <w:spacing w:after="0" w:line="247" w:lineRule="auto"/>
              <w:jc w:val="center"/>
            </w:pPr>
            <w:r>
              <w:t>S2</w:t>
            </w:r>
            <w:r>
              <w:br/>
              <w:t>2026-09-22</w:t>
            </w:r>
          </w:p>
        </w:tc>
        <w:tc>
          <w:tcPr>
            <w:tcW w:type="dxa" w:w="4392"/>
            <w:vAlign w:val="center"/>
            <w:shd w:fill="F2F2F2"/>
            <w:tcMar>
              <w:top w:w="75" w:type="dxa"/>
              <w:start w:w="75" w:type="dxa"/>
              <w:bottom w:w="75" w:type="dxa"/>
              <w:end w:w="75" w:type="dxa"/>
            </w:tcMar>
          </w:tcPr>
          <w:p>
            <w:pPr>
              <w:spacing w:after="0" w:line="247" w:lineRule="auto"/>
            </w:pPr>
            <w:r>
              <w:t>RASFF 2026.8376</w:t>
            </w:r>
            <w:r>
              <w:br/>
              <w:t>毛里塔尼亚鱼粉 Salmonella</w:t>
            </w:r>
          </w:p>
        </w:tc>
        <w:tc>
          <w:tcPr>
            <w:tcW w:type="dxa" w:w="1872"/>
            <w:vAlign w:val="center"/>
            <w:shd w:fill="F2F2F2"/>
            <w:tcMar>
              <w:top w:w="75" w:type="dxa"/>
              <w:start w:w="75" w:type="dxa"/>
              <w:bottom w:w="75" w:type="dxa"/>
              <w:end w:w="75" w:type="dxa"/>
            </w:tcMar>
          </w:tcPr>
          <w:p>
            <w:pPr>
              <w:spacing w:after="0" w:line="247" w:lineRule="auto"/>
            </w:pPr>
            <w:r>
              <w:t>欧盟官方通报</w:t>
            </w:r>
          </w:p>
        </w:tc>
        <w:tc>
          <w:tcPr>
            <w:tcW w:type="dxa" w:w="1469"/>
            <w:vAlign w:val="center"/>
            <w:shd w:fill="F2F2F2"/>
            <w:tcMar>
              <w:top w:w="75" w:type="dxa"/>
              <w:start w:w="75" w:type="dxa"/>
              <w:bottom w:w="75" w:type="dxa"/>
              <w:end w:w="75" w:type="dxa"/>
            </w:tcMar>
          </w:tcPr>
          <w:p>
            <w:pPr>
              <w:spacing w:after="0" w:line="240" w:lineRule="auto"/>
              <w:jc w:val="center"/>
            </w:pPr>
            <w:r/>
            <w:hyperlink r:id="rId25">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S3</w:t>
            </w:r>
            <w:r>
              <w:br/>
              <w:t>2026-09-22</w:t>
            </w:r>
          </w:p>
        </w:tc>
        <w:tc>
          <w:tcPr>
            <w:tcW w:type="dxa" w:w="4392"/>
            <w:vAlign w:val="center"/>
            <w:tcMar>
              <w:top w:w="75" w:type="dxa"/>
              <w:start w:w="75" w:type="dxa"/>
              <w:bottom w:w="75" w:type="dxa"/>
              <w:end w:w="75" w:type="dxa"/>
            </w:tcMar>
          </w:tcPr>
          <w:p>
            <w:pPr>
              <w:spacing w:after="0" w:line="247" w:lineRule="auto"/>
            </w:pPr>
            <w:r>
              <w:t>RASFF 2026.8380</w:t>
            </w:r>
            <w:r>
              <w:br/>
              <w:t>中国来源饲料添加剂卡那霉素残留</w:t>
            </w:r>
          </w:p>
        </w:tc>
        <w:tc>
          <w:tcPr>
            <w:tcW w:type="dxa" w:w="1872"/>
            <w:vAlign w:val="center"/>
            <w:tcMar>
              <w:top w:w="75" w:type="dxa"/>
              <w:start w:w="75" w:type="dxa"/>
              <w:bottom w:w="75" w:type="dxa"/>
              <w:end w:w="75" w:type="dxa"/>
            </w:tcMar>
          </w:tcPr>
          <w:p>
            <w:pPr>
              <w:spacing w:after="0" w:line="247" w:lineRule="auto"/>
            </w:pPr>
            <w:r>
              <w:t>欧盟官方通报</w:t>
            </w:r>
          </w:p>
        </w:tc>
        <w:tc>
          <w:tcPr>
            <w:tcW w:type="dxa" w:w="1469"/>
            <w:vAlign w:val="center"/>
            <w:tcMar>
              <w:top w:w="75" w:type="dxa"/>
              <w:start w:w="75" w:type="dxa"/>
              <w:bottom w:w="75" w:type="dxa"/>
              <w:end w:w="75" w:type="dxa"/>
            </w:tcMar>
          </w:tcPr>
          <w:p>
            <w:pPr>
              <w:spacing w:after="0" w:line="240" w:lineRule="auto"/>
              <w:jc w:val="center"/>
            </w:pPr>
            <w:r/>
            <w:hyperlink r:id="rId26">
              <w:r>
                <w:rPr>
                  <w:color w:val="0563C1"/>
                  <w:u w:val="single"/>
                  <w:rFonts w:eastAsia="宋体" w:ascii="宋体" w:hAnsi="宋体" w:cs="宋体"/>
                  <w:sz w:val="15"/>
                </w:rPr>
                <w:t>打开来源</w:t>
              </w:r>
            </w:hyperlink>
          </w:p>
        </w:tc>
      </w:tr>
      <w:tr>
        <w:trPr>
          <w:cantSplit/>
        </w:trPr>
        <w:tc>
          <w:tcPr>
            <w:tcW w:type="dxa" w:w="1224"/>
            <w:vAlign w:val="center"/>
            <w:shd w:fill="F2F2F2"/>
            <w:tcMar>
              <w:top w:w="75" w:type="dxa"/>
              <w:start w:w="75" w:type="dxa"/>
              <w:bottom w:w="75" w:type="dxa"/>
              <w:end w:w="75" w:type="dxa"/>
            </w:tcMar>
          </w:tcPr>
          <w:p>
            <w:pPr>
              <w:spacing w:after="0" w:line="247" w:lineRule="auto"/>
              <w:jc w:val="center"/>
            </w:pPr>
            <w:r>
              <w:t>S4</w:t>
            </w:r>
            <w:r>
              <w:br/>
              <w:t>2026-09-23</w:t>
            </w:r>
          </w:p>
        </w:tc>
        <w:tc>
          <w:tcPr>
            <w:tcW w:type="dxa" w:w="4392"/>
            <w:vAlign w:val="center"/>
            <w:shd w:fill="F2F2F2"/>
            <w:tcMar>
              <w:top w:w="75" w:type="dxa"/>
              <w:start w:w="75" w:type="dxa"/>
              <w:bottom w:w="75" w:type="dxa"/>
              <w:end w:w="75" w:type="dxa"/>
            </w:tcMar>
          </w:tcPr>
          <w:p>
            <w:pPr>
              <w:spacing w:after="0" w:line="247" w:lineRule="auto"/>
            </w:pPr>
            <w:r>
              <w:t>RASFF 2026.8405</w:t>
            </w:r>
            <w:r>
              <w:br/>
              <w:t>西班牙犬粮异物</w:t>
            </w:r>
          </w:p>
        </w:tc>
        <w:tc>
          <w:tcPr>
            <w:tcW w:type="dxa" w:w="1872"/>
            <w:vAlign w:val="center"/>
            <w:shd w:fill="F2F2F2"/>
            <w:tcMar>
              <w:top w:w="75" w:type="dxa"/>
              <w:start w:w="75" w:type="dxa"/>
              <w:bottom w:w="75" w:type="dxa"/>
              <w:end w:w="75" w:type="dxa"/>
            </w:tcMar>
          </w:tcPr>
          <w:p>
            <w:pPr>
              <w:spacing w:after="0" w:line="247" w:lineRule="auto"/>
            </w:pPr>
            <w:r>
              <w:t>欧盟官方通报</w:t>
            </w:r>
          </w:p>
        </w:tc>
        <w:tc>
          <w:tcPr>
            <w:tcW w:type="dxa" w:w="1469"/>
            <w:vAlign w:val="center"/>
            <w:shd w:fill="F2F2F2"/>
            <w:tcMar>
              <w:top w:w="75" w:type="dxa"/>
              <w:start w:w="75" w:type="dxa"/>
              <w:bottom w:w="75" w:type="dxa"/>
              <w:end w:w="75" w:type="dxa"/>
            </w:tcMar>
          </w:tcPr>
          <w:p>
            <w:pPr>
              <w:spacing w:after="0" w:line="240" w:lineRule="auto"/>
              <w:jc w:val="center"/>
            </w:pPr>
            <w:r/>
            <w:hyperlink r:id="rId27">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S5</w:t>
            </w:r>
            <w:r>
              <w:br/>
              <w:t>2026-09-23</w:t>
            </w:r>
          </w:p>
        </w:tc>
        <w:tc>
          <w:tcPr>
            <w:tcW w:type="dxa" w:w="4392"/>
            <w:vAlign w:val="center"/>
            <w:tcMar>
              <w:top w:w="75" w:type="dxa"/>
              <w:start w:w="75" w:type="dxa"/>
              <w:bottom w:w="75" w:type="dxa"/>
              <w:end w:w="75" w:type="dxa"/>
            </w:tcMar>
          </w:tcPr>
          <w:p>
            <w:pPr>
              <w:spacing w:after="0" w:line="247" w:lineRule="auto"/>
            </w:pPr>
            <w:r>
              <w:t>RASFF 2026.8421</w:t>
            </w:r>
            <w:r>
              <w:br/>
              <w:t>摩洛哥鱼粉 Salmonella</w:t>
            </w:r>
          </w:p>
        </w:tc>
        <w:tc>
          <w:tcPr>
            <w:tcW w:type="dxa" w:w="1872"/>
            <w:vAlign w:val="center"/>
            <w:tcMar>
              <w:top w:w="75" w:type="dxa"/>
              <w:start w:w="75" w:type="dxa"/>
              <w:bottom w:w="75" w:type="dxa"/>
              <w:end w:w="75" w:type="dxa"/>
            </w:tcMar>
          </w:tcPr>
          <w:p>
            <w:pPr>
              <w:spacing w:after="0" w:line="247" w:lineRule="auto"/>
            </w:pPr>
            <w:r>
              <w:t>欧盟官方通报</w:t>
            </w:r>
          </w:p>
        </w:tc>
        <w:tc>
          <w:tcPr>
            <w:tcW w:type="dxa" w:w="1469"/>
            <w:vAlign w:val="center"/>
            <w:tcMar>
              <w:top w:w="75" w:type="dxa"/>
              <w:start w:w="75" w:type="dxa"/>
              <w:bottom w:w="75" w:type="dxa"/>
              <w:end w:w="75" w:type="dxa"/>
            </w:tcMar>
          </w:tcPr>
          <w:p>
            <w:pPr>
              <w:spacing w:after="0" w:line="240" w:lineRule="auto"/>
              <w:jc w:val="center"/>
            </w:pPr>
            <w:r/>
            <w:hyperlink r:id="rId28">
              <w:r>
                <w:rPr>
                  <w:color w:val="0563C1"/>
                  <w:u w:val="single"/>
                  <w:rFonts w:eastAsia="宋体" w:ascii="宋体" w:hAnsi="宋体" w:cs="宋体"/>
                  <w:sz w:val="15"/>
                </w:rPr>
                <w:t>打开来源</w:t>
              </w:r>
            </w:hyperlink>
          </w:p>
        </w:tc>
      </w:tr>
      <w:tr>
        <w:trPr>
          <w:cantSplit/>
        </w:trPr>
        <w:tc>
          <w:tcPr>
            <w:tcW w:type="dxa" w:w="1224"/>
            <w:vAlign w:val="center"/>
            <w:shd w:fill="F2F2F2"/>
            <w:tcMar>
              <w:top w:w="75" w:type="dxa"/>
              <w:start w:w="75" w:type="dxa"/>
              <w:bottom w:w="75" w:type="dxa"/>
              <w:end w:w="75" w:type="dxa"/>
            </w:tcMar>
          </w:tcPr>
          <w:p>
            <w:pPr>
              <w:spacing w:after="0" w:line="247" w:lineRule="auto"/>
              <w:jc w:val="center"/>
            </w:pPr>
            <w:r>
              <w:t>S6</w:t>
            </w:r>
            <w:r>
              <w:br/>
              <w:t>2026-09-23</w:t>
            </w:r>
          </w:p>
        </w:tc>
        <w:tc>
          <w:tcPr>
            <w:tcW w:type="dxa" w:w="4392"/>
            <w:vAlign w:val="center"/>
            <w:shd w:fill="F2F2F2"/>
            <w:tcMar>
              <w:top w:w="75" w:type="dxa"/>
              <w:start w:w="75" w:type="dxa"/>
              <w:bottom w:w="75" w:type="dxa"/>
              <w:end w:w="75" w:type="dxa"/>
            </w:tcMar>
          </w:tcPr>
          <w:p>
            <w:pPr>
              <w:spacing w:after="0" w:line="247" w:lineRule="auto"/>
            </w:pPr>
            <w:r>
              <w:t>加拿大食品检验局</w:t>
            </w:r>
            <w:r>
              <w:br/>
              <w:t>液态酪乳和液态脱脂乳饲料原料咨询</w:t>
            </w:r>
          </w:p>
        </w:tc>
        <w:tc>
          <w:tcPr>
            <w:tcW w:type="dxa" w:w="1872"/>
            <w:vAlign w:val="center"/>
            <w:shd w:fill="F2F2F2"/>
            <w:tcMar>
              <w:top w:w="75" w:type="dxa"/>
              <w:start w:w="75" w:type="dxa"/>
              <w:bottom w:w="75" w:type="dxa"/>
              <w:end w:w="75" w:type="dxa"/>
            </w:tcMar>
          </w:tcPr>
          <w:p>
            <w:pPr>
              <w:spacing w:after="0" w:line="247" w:lineRule="auto"/>
            </w:pPr>
            <w:r>
              <w:t>加拿大官方咨询</w:t>
            </w:r>
          </w:p>
        </w:tc>
        <w:tc>
          <w:tcPr>
            <w:tcW w:type="dxa" w:w="1469"/>
            <w:vAlign w:val="center"/>
            <w:shd w:fill="F2F2F2"/>
            <w:tcMar>
              <w:top w:w="75" w:type="dxa"/>
              <w:start w:w="75" w:type="dxa"/>
              <w:bottom w:w="75" w:type="dxa"/>
              <w:end w:w="75" w:type="dxa"/>
            </w:tcMar>
          </w:tcPr>
          <w:p>
            <w:pPr>
              <w:spacing w:after="0" w:line="240" w:lineRule="auto"/>
              <w:jc w:val="center"/>
            </w:pPr>
            <w:r/>
            <w:hyperlink r:id="rId29">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S7</w:t>
            </w:r>
            <w:r>
              <w:br/>
              <w:t>2026-09-21</w:t>
            </w:r>
          </w:p>
        </w:tc>
        <w:tc>
          <w:tcPr>
            <w:tcW w:type="dxa" w:w="4392"/>
            <w:vAlign w:val="center"/>
            <w:tcMar>
              <w:top w:w="75" w:type="dxa"/>
              <w:start w:w="75" w:type="dxa"/>
              <w:bottom w:w="75" w:type="dxa"/>
              <w:end w:w="75" w:type="dxa"/>
            </w:tcMar>
          </w:tcPr>
          <w:p>
            <w:pPr>
              <w:spacing w:after="0" w:line="247" w:lineRule="auto"/>
            </w:pPr>
            <w:r>
              <w:t>EUR-Lex（EU）2026/2130</w:t>
            </w:r>
            <w:r>
              <w:br/>
              <w:t>木聚糖酶授权更新与范围扩展</w:t>
            </w:r>
          </w:p>
        </w:tc>
        <w:tc>
          <w:tcPr>
            <w:tcW w:type="dxa" w:w="1872"/>
            <w:vAlign w:val="center"/>
            <w:tcMar>
              <w:top w:w="75" w:type="dxa"/>
              <w:start w:w="75" w:type="dxa"/>
              <w:bottom w:w="75" w:type="dxa"/>
              <w:end w:w="75" w:type="dxa"/>
            </w:tcMar>
          </w:tcPr>
          <w:p>
            <w:pPr>
              <w:spacing w:after="0" w:line="247" w:lineRule="auto"/>
            </w:pPr>
            <w:r>
              <w:t>欧盟官方法规</w:t>
            </w:r>
          </w:p>
        </w:tc>
        <w:tc>
          <w:tcPr>
            <w:tcW w:type="dxa" w:w="1469"/>
            <w:vAlign w:val="center"/>
            <w:tcMar>
              <w:top w:w="75" w:type="dxa"/>
              <w:start w:w="75" w:type="dxa"/>
              <w:bottom w:w="75" w:type="dxa"/>
              <w:end w:w="75" w:type="dxa"/>
            </w:tcMar>
          </w:tcPr>
          <w:p>
            <w:pPr>
              <w:spacing w:after="0" w:line="240" w:lineRule="auto"/>
              <w:jc w:val="center"/>
            </w:pPr>
            <w:r/>
            <w:hyperlink r:id="rId30">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S8</w:t>
            </w:r>
            <w:r>
              <w:br/>
              <w:t>2026-09-24</w:t>
            </w:r>
          </w:p>
        </w:tc>
        <w:tc>
          <w:tcPr>
            <w:tcW w:type="dxa" w:w="4392"/>
            <w:vAlign w:val="center"/>
            <w:tcMar>
              <w:top w:w="75" w:type="dxa"/>
              <w:start w:w="75" w:type="dxa"/>
              <w:bottom w:w="75" w:type="dxa"/>
              <w:end w:w="75" w:type="dxa"/>
            </w:tcMar>
          </w:tcPr>
          <w:p>
            <w:pPr>
              <w:spacing w:after="0" w:line="247" w:lineRule="auto"/>
            </w:pPr>
            <w:r>
              <w:t>EUR-Lex（EU）2026/2110</w:t>
            </w:r>
            <w:r>
              <w:br/>
              <w:t>马郁兰精油授权</w:t>
            </w:r>
          </w:p>
        </w:tc>
        <w:tc>
          <w:tcPr>
            <w:tcW w:type="dxa" w:w="1872"/>
            <w:vAlign w:val="center"/>
            <w:tcMar>
              <w:top w:w="75" w:type="dxa"/>
              <w:start w:w="75" w:type="dxa"/>
              <w:bottom w:w="75" w:type="dxa"/>
              <w:end w:w="75" w:type="dxa"/>
            </w:tcMar>
          </w:tcPr>
          <w:p>
            <w:pPr>
              <w:spacing w:after="0" w:line="247" w:lineRule="auto"/>
            </w:pPr>
            <w:r>
              <w:t>欧盟官方法规</w:t>
            </w:r>
          </w:p>
        </w:tc>
        <w:tc>
          <w:tcPr>
            <w:tcW w:type="dxa" w:w="1469"/>
            <w:vAlign w:val="center"/>
            <w:tcMar>
              <w:top w:w="75" w:type="dxa"/>
              <w:start w:w="75" w:type="dxa"/>
              <w:bottom w:w="75" w:type="dxa"/>
              <w:end w:w="75" w:type="dxa"/>
            </w:tcMar>
          </w:tcPr>
          <w:p>
            <w:pPr>
              <w:spacing w:after="0" w:line="240" w:lineRule="auto"/>
              <w:jc w:val="center"/>
            </w:pPr>
            <w:r/>
            <w:hyperlink r:id="rId8">
              <w:r>
                <w:rPr>
                  <w:color w:val="0563C1"/>
                  <w:u w:val="single"/>
                  <w:rFonts w:eastAsia="宋体" w:ascii="宋体" w:hAnsi="宋体" w:cs="宋体"/>
                  <w:sz w:val="15"/>
                </w:rPr>
                <w:t>打开来源</w:t>
              </w:r>
            </w:hyperlink>
          </w:p>
        </w:tc>
      </w:tr>
      <w:tr>
        <w:trPr>
          <w:cantSplit/>
        </w:trPr>
        <w:tc>
          <w:tcPr>
            <w:tcW w:type="dxa" w:w="1224"/>
            <w:vAlign w:val="center"/>
            <w:shd w:fill="F2F2F2"/>
            <w:tcMar>
              <w:top w:w="75" w:type="dxa"/>
              <w:start w:w="75" w:type="dxa"/>
              <w:bottom w:w="75" w:type="dxa"/>
              <w:end w:w="75" w:type="dxa"/>
            </w:tcMar>
          </w:tcPr>
          <w:p>
            <w:pPr>
              <w:spacing w:after="0" w:line="247" w:lineRule="auto"/>
              <w:jc w:val="center"/>
            </w:pPr>
            <w:r>
              <w:t>S9</w:t>
            </w:r>
            <w:r>
              <w:br/>
              <w:t>2026-09-24</w:t>
            </w:r>
          </w:p>
        </w:tc>
        <w:tc>
          <w:tcPr>
            <w:tcW w:type="dxa" w:w="4392"/>
            <w:vAlign w:val="center"/>
            <w:shd w:fill="F2F2F2"/>
            <w:tcMar>
              <w:top w:w="75" w:type="dxa"/>
              <w:start w:w="75" w:type="dxa"/>
              <w:bottom w:w="75" w:type="dxa"/>
              <w:end w:w="75" w:type="dxa"/>
            </w:tcMar>
          </w:tcPr>
          <w:p>
            <w:pPr>
              <w:spacing w:after="0" w:line="247" w:lineRule="auto"/>
            </w:pPr>
            <w:r>
              <w:t>EUR-Lex（EU）2026/2113</w:t>
            </w:r>
            <w:r>
              <w:br/>
              <w:t>迷迭香精油授权</w:t>
            </w:r>
          </w:p>
        </w:tc>
        <w:tc>
          <w:tcPr>
            <w:tcW w:type="dxa" w:w="1872"/>
            <w:vAlign w:val="center"/>
            <w:shd w:fill="F2F2F2"/>
            <w:tcMar>
              <w:top w:w="75" w:type="dxa"/>
              <w:start w:w="75" w:type="dxa"/>
              <w:bottom w:w="75" w:type="dxa"/>
              <w:end w:w="75" w:type="dxa"/>
            </w:tcMar>
          </w:tcPr>
          <w:p>
            <w:pPr>
              <w:spacing w:after="0" w:line="247" w:lineRule="auto"/>
            </w:pPr>
            <w:r>
              <w:t>欧盟官方法规</w:t>
            </w:r>
          </w:p>
        </w:tc>
        <w:tc>
          <w:tcPr>
            <w:tcW w:type="dxa" w:w="1469"/>
            <w:vAlign w:val="center"/>
            <w:shd w:fill="F2F2F2"/>
            <w:tcMar>
              <w:top w:w="75" w:type="dxa"/>
              <w:start w:w="75" w:type="dxa"/>
              <w:bottom w:w="75" w:type="dxa"/>
              <w:end w:w="75" w:type="dxa"/>
            </w:tcMar>
          </w:tcPr>
          <w:p>
            <w:pPr>
              <w:spacing w:after="0" w:line="240" w:lineRule="auto"/>
              <w:jc w:val="center"/>
            </w:pPr>
            <w:r/>
            <w:hyperlink r:id="rId9">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S10</w:t>
            </w:r>
            <w:r>
              <w:br/>
              <w:t>2026-09-24</w:t>
            </w:r>
          </w:p>
        </w:tc>
        <w:tc>
          <w:tcPr>
            <w:tcW w:type="dxa" w:w="4392"/>
            <w:vAlign w:val="center"/>
            <w:tcMar>
              <w:top w:w="75" w:type="dxa"/>
              <w:start w:w="75" w:type="dxa"/>
              <w:bottom w:w="75" w:type="dxa"/>
              <w:end w:w="75" w:type="dxa"/>
            </w:tcMar>
          </w:tcPr>
          <w:p>
            <w:pPr>
              <w:spacing w:after="0" w:line="247" w:lineRule="auto"/>
            </w:pPr>
            <w:r>
              <w:t>EUR-Lex（EU）2026/2115</w:t>
            </w:r>
            <w:r>
              <w:br/>
              <w:t>维生素 K3 两种形式续展</w:t>
            </w:r>
          </w:p>
        </w:tc>
        <w:tc>
          <w:tcPr>
            <w:tcW w:type="dxa" w:w="1872"/>
            <w:vAlign w:val="center"/>
            <w:tcMar>
              <w:top w:w="75" w:type="dxa"/>
              <w:start w:w="75" w:type="dxa"/>
              <w:bottom w:w="75" w:type="dxa"/>
              <w:end w:w="75" w:type="dxa"/>
            </w:tcMar>
          </w:tcPr>
          <w:p>
            <w:pPr>
              <w:spacing w:after="0" w:line="247" w:lineRule="auto"/>
            </w:pPr>
            <w:r>
              <w:t>欧盟官方法规</w:t>
            </w:r>
          </w:p>
        </w:tc>
        <w:tc>
          <w:tcPr>
            <w:tcW w:type="dxa" w:w="1469"/>
            <w:vAlign w:val="center"/>
            <w:tcMar>
              <w:top w:w="75" w:type="dxa"/>
              <w:start w:w="75" w:type="dxa"/>
              <w:bottom w:w="75" w:type="dxa"/>
              <w:end w:w="75" w:type="dxa"/>
            </w:tcMar>
          </w:tcPr>
          <w:p>
            <w:pPr>
              <w:spacing w:after="0" w:line="240" w:lineRule="auto"/>
              <w:jc w:val="center"/>
            </w:pPr>
            <w:r/>
            <w:hyperlink r:id="rId10">
              <w:r>
                <w:rPr>
                  <w:color w:val="0563C1"/>
                  <w:u w:val="single"/>
                  <w:rFonts w:eastAsia="宋体" w:ascii="宋体" w:hAnsi="宋体" w:cs="宋体"/>
                  <w:sz w:val="15"/>
                </w:rPr>
                <w:t>打开来源</w:t>
              </w:r>
            </w:hyperlink>
          </w:p>
        </w:tc>
      </w:tr>
      <w:tr>
        <w:trPr>
          <w:cantSplit/>
        </w:trPr>
        <w:tc>
          <w:tcPr>
            <w:tcW w:type="dxa" w:w="1224"/>
            <w:vAlign w:val="center"/>
            <w:shd w:fill="F2F2F2"/>
            <w:tcMar>
              <w:top w:w="75" w:type="dxa"/>
              <w:start w:w="75" w:type="dxa"/>
              <w:bottom w:w="75" w:type="dxa"/>
              <w:end w:w="75" w:type="dxa"/>
            </w:tcMar>
          </w:tcPr>
          <w:p>
            <w:pPr>
              <w:spacing w:after="0" w:line="247" w:lineRule="auto"/>
              <w:jc w:val="center"/>
            </w:pPr>
            <w:r>
              <w:t>S11</w:t>
            </w:r>
            <w:r>
              <w:br/>
              <w:t>2026-09-25</w:t>
            </w:r>
          </w:p>
        </w:tc>
        <w:tc>
          <w:tcPr>
            <w:tcW w:type="dxa" w:w="4392"/>
            <w:vAlign w:val="center"/>
            <w:shd w:fill="F2F2F2"/>
            <w:tcMar>
              <w:top w:w="75" w:type="dxa"/>
              <w:start w:w="75" w:type="dxa"/>
              <w:bottom w:w="75" w:type="dxa"/>
              <w:end w:w="75" w:type="dxa"/>
            </w:tcMar>
          </w:tcPr>
          <w:p>
            <w:pPr>
              <w:spacing w:after="0" w:line="247" w:lineRule="auto"/>
            </w:pPr>
            <w:r>
              <w:t>EUR-Lex（EU）2026/2120</w:t>
            </w:r>
            <w:r>
              <w:br/>
              <w:t>薰衣草酊授权与撤回</w:t>
            </w:r>
          </w:p>
        </w:tc>
        <w:tc>
          <w:tcPr>
            <w:tcW w:type="dxa" w:w="1872"/>
            <w:vAlign w:val="center"/>
            <w:shd w:fill="F2F2F2"/>
            <w:tcMar>
              <w:top w:w="75" w:type="dxa"/>
              <w:start w:w="75" w:type="dxa"/>
              <w:bottom w:w="75" w:type="dxa"/>
              <w:end w:w="75" w:type="dxa"/>
            </w:tcMar>
          </w:tcPr>
          <w:p>
            <w:pPr>
              <w:spacing w:after="0" w:line="247" w:lineRule="auto"/>
            </w:pPr>
            <w:r>
              <w:t>欧盟官方法规</w:t>
            </w:r>
          </w:p>
        </w:tc>
        <w:tc>
          <w:tcPr>
            <w:tcW w:type="dxa" w:w="1469"/>
            <w:vAlign w:val="center"/>
            <w:shd w:fill="F2F2F2"/>
            <w:tcMar>
              <w:top w:w="75" w:type="dxa"/>
              <w:start w:w="75" w:type="dxa"/>
              <w:bottom w:w="75" w:type="dxa"/>
              <w:end w:w="75" w:type="dxa"/>
            </w:tcMar>
          </w:tcPr>
          <w:p>
            <w:pPr>
              <w:spacing w:after="0" w:line="240" w:lineRule="auto"/>
              <w:jc w:val="center"/>
            </w:pPr>
            <w:r/>
            <w:hyperlink r:id="rId11">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S12</w:t>
            </w:r>
            <w:r>
              <w:br/>
              <w:t>2026-09-25</w:t>
            </w:r>
          </w:p>
        </w:tc>
        <w:tc>
          <w:tcPr>
            <w:tcW w:type="dxa" w:w="4392"/>
            <w:vAlign w:val="center"/>
            <w:tcMar>
              <w:top w:w="75" w:type="dxa"/>
              <w:start w:w="75" w:type="dxa"/>
              <w:bottom w:w="75" w:type="dxa"/>
              <w:end w:w="75" w:type="dxa"/>
            </w:tcMar>
          </w:tcPr>
          <w:p>
            <w:pPr>
              <w:spacing w:after="0" w:line="247" w:lineRule="auto"/>
            </w:pPr>
            <w:r>
              <w:t>EUR-Lex（EU）2026/2129</w:t>
            </w:r>
            <w:r>
              <w:br/>
              <w:t>犬猫用 L-半胱氨酸盐酸盐一水合物续展</w:t>
            </w:r>
          </w:p>
        </w:tc>
        <w:tc>
          <w:tcPr>
            <w:tcW w:type="dxa" w:w="1872"/>
            <w:vAlign w:val="center"/>
            <w:tcMar>
              <w:top w:w="75" w:type="dxa"/>
              <w:start w:w="75" w:type="dxa"/>
              <w:bottom w:w="75" w:type="dxa"/>
              <w:end w:w="75" w:type="dxa"/>
            </w:tcMar>
          </w:tcPr>
          <w:p>
            <w:pPr>
              <w:spacing w:after="0" w:line="247" w:lineRule="auto"/>
            </w:pPr>
            <w:r>
              <w:t>欧盟官方法规</w:t>
            </w:r>
          </w:p>
        </w:tc>
        <w:tc>
          <w:tcPr>
            <w:tcW w:type="dxa" w:w="1469"/>
            <w:vAlign w:val="center"/>
            <w:tcMar>
              <w:top w:w="75" w:type="dxa"/>
              <w:start w:w="75" w:type="dxa"/>
              <w:bottom w:w="75" w:type="dxa"/>
              <w:end w:w="75" w:type="dxa"/>
            </w:tcMar>
          </w:tcPr>
          <w:p>
            <w:pPr>
              <w:spacing w:after="0" w:line="240" w:lineRule="auto"/>
              <w:jc w:val="center"/>
            </w:pPr>
            <w:r/>
            <w:hyperlink r:id="rId12">
              <w:r>
                <w:rPr>
                  <w:color w:val="0563C1"/>
                  <w:u w:val="single"/>
                  <w:rFonts w:eastAsia="宋体" w:ascii="宋体" w:hAnsi="宋体" w:cs="宋体"/>
                  <w:sz w:val="15"/>
                </w:rPr>
                <w:t>打开来源</w:t>
              </w:r>
            </w:hyperlink>
          </w:p>
        </w:tc>
      </w:tr>
      <w:tr>
        <w:trPr>
          <w:cantSplit/>
        </w:trPr>
        <w:tc>
          <w:tcPr>
            <w:tcW w:type="dxa" w:w="1224"/>
            <w:vAlign w:val="center"/>
            <w:shd w:fill="F2F2F2"/>
            <w:tcMar>
              <w:top w:w="75" w:type="dxa"/>
              <w:start w:w="75" w:type="dxa"/>
              <w:bottom w:w="75" w:type="dxa"/>
              <w:end w:w="75" w:type="dxa"/>
            </w:tcMar>
          </w:tcPr>
          <w:p>
            <w:pPr>
              <w:spacing w:after="0" w:line="247" w:lineRule="auto"/>
              <w:jc w:val="center"/>
            </w:pPr>
            <w:r>
              <w:t>S13</w:t>
            </w:r>
            <w:r>
              <w:br/>
              <w:t>2026-09-22</w:t>
            </w:r>
          </w:p>
        </w:tc>
        <w:tc>
          <w:tcPr>
            <w:tcW w:type="dxa" w:w="4392"/>
            <w:vAlign w:val="center"/>
            <w:shd w:fill="F2F2F2"/>
            <w:tcMar>
              <w:top w:w="75" w:type="dxa"/>
              <w:start w:w="75" w:type="dxa"/>
              <w:bottom w:w="75" w:type="dxa"/>
              <w:end w:w="75" w:type="dxa"/>
            </w:tcMar>
          </w:tcPr>
          <w:p>
            <w:pPr>
              <w:spacing w:after="0" w:line="247" w:lineRule="auto"/>
            </w:pPr>
            <w:r>
              <w:t>农业农村部畜牧兽医局</w:t>
            </w:r>
            <w:r>
              <w:br/>
              <w:t>9 月第 3 周畜产品和饲料市场价格</w:t>
            </w:r>
          </w:p>
        </w:tc>
        <w:tc>
          <w:tcPr>
            <w:tcW w:type="dxa" w:w="1872"/>
            <w:vAlign w:val="center"/>
            <w:shd w:fill="F2F2F2"/>
            <w:tcMar>
              <w:top w:w="75" w:type="dxa"/>
              <w:start w:w="75" w:type="dxa"/>
              <w:bottom w:w="75" w:type="dxa"/>
              <w:end w:w="75" w:type="dxa"/>
            </w:tcMar>
          </w:tcPr>
          <w:p>
            <w:pPr>
              <w:spacing w:after="0" w:line="247" w:lineRule="auto"/>
            </w:pPr>
            <w:r>
              <w:t>中国官方监测</w:t>
            </w:r>
          </w:p>
        </w:tc>
        <w:tc>
          <w:tcPr>
            <w:tcW w:type="dxa" w:w="1469"/>
            <w:vAlign w:val="center"/>
            <w:shd w:fill="F2F2F2"/>
            <w:tcMar>
              <w:top w:w="75" w:type="dxa"/>
              <w:start w:w="75" w:type="dxa"/>
              <w:bottom w:w="75" w:type="dxa"/>
              <w:end w:w="75" w:type="dxa"/>
            </w:tcMar>
          </w:tcPr>
          <w:p>
            <w:pPr>
              <w:spacing w:after="0" w:line="240" w:lineRule="auto"/>
              <w:jc w:val="center"/>
            </w:pPr>
            <w:r/>
            <w:hyperlink r:id="rId13">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S14</w:t>
            </w:r>
            <w:r>
              <w:br/>
              <w:t>2026-09-22</w:t>
            </w:r>
          </w:p>
        </w:tc>
        <w:tc>
          <w:tcPr>
            <w:tcW w:type="dxa" w:w="4392"/>
            <w:vAlign w:val="center"/>
            <w:tcMar>
              <w:top w:w="75" w:type="dxa"/>
              <w:start w:w="75" w:type="dxa"/>
              <w:bottom w:w="75" w:type="dxa"/>
              <w:end w:w="75" w:type="dxa"/>
            </w:tcMar>
          </w:tcPr>
          <w:p>
            <w:pPr>
              <w:spacing w:after="0" w:line="247" w:lineRule="auto"/>
            </w:pPr>
            <w:r>
              <w:t>国家卫生健康委公告</w:t>
            </w:r>
            <w:r>
              <w:br/>
              <w:t>50 项食品安全国家标准及修改单</w:t>
            </w:r>
          </w:p>
        </w:tc>
        <w:tc>
          <w:tcPr>
            <w:tcW w:type="dxa" w:w="1872"/>
            <w:vAlign w:val="center"/>
            <w:tcMar>
              <w:top w:w="75" w:type="dxa"/>
              <w:start w:w="75" w:type="dxa"/>
              <w:bottom w:w="75" w:type="dxa"/>
              <w:end w:w="75" w:type="dxa"/>
            </w:tcMar>
          </w:tcPr>
          <w:p>
            <w:pPr>
              <w:spacing w:after="0" w:line="247" w:lineRule="auto"/>
            </w:pPr>
            <w:r>
              <w:t>中国官方公告（边界核验）</w:t>
            </w:r>
          </w:p>
        </w:tc>
        <w:tc>
          <w:tcPr>
            <w:tcW w:type="dxa" w:w="1469"/>
            <w:vAlign w:val="center"/>
            <w:tcMar>
              <w:top w:w="75" w:type="dxa"/>
              <w:start w:w="75" w:type="dxa"/>
              <w:bottom w:w="75" w:type="dxa"/>
              <w:end w:w="75" w:type="dxa"/>
            </w:tcMar>
          </w:tcPr>
          <w:p>
            <w:pPr>
              <w:spacing w:after="0" w:line="240" w:lineRule="auto"/>
              <w:jc w:val="center"/>
            </w:pPr>
            <w:r/>
            <w:hyperlink r:id="rId14">
              <w:r>
                <w:rPr>
                  <w:color w:val="0563C1"/>
                  <w:u w:val="single"/>
                  <w:rFonts w:eastAsia="宋体" w:ascii="宋体" w:hAnsi="宋体" w:cs="宋体"/>
                  <w:sz w:val="15"/>
                </w:rPr>
                <w:t>打开来源</w:t>
              </w:r>
            </w:hyperlink>
          </w:p>
        </w:tc>
      </w:tr>
    </w:tbl>
    <w:p>
      <w:pPr>
        <w:keepNext w:val="0"/>
        <w:spacing w:before="140" w:after="60" w:line="276" w:lineRule="auto"/>
      </w:pPr>
      <w:r>
        <w:rPr>
          <w:rFonts w:ascii="宋体" w:hAnsi="宋体" w:eastAsia="宋体" w:cs="宋体"/>
          <w:b w:val="0"/>
          <w:sz w:val="19"/>
        </w:rPr>
        <w:t>使用说明：本周报用于企业质量风险、法规情报和经营决策支持，不构成法律意见、产品合规批准、进口放行意见、采购指令或召回决定。官方通报、法规、征求意见、市场监测和食品标准边界已按证据性质区分；最终判断应结合目标市场、法规附件、供应链文件、检测结果和事实调查。</w:t>
      </w:r>
    </w:p>
    <w:p>
      <w:pPr>
        <w:keepNext w:val="0"/>
        <w:spacing w:before="120" w:after="60" w:line="276" w:lineRule="auto"/>
        <w:jc w:val="center"/>
      </w:pPr>
      <w:r>
        <w:rPr>
          <w:rFonts w:ascii="宋体" w:hAnsi="宋体" w:eastAsia="宋体" w:cs="宋体"/>
          <w:b w:val="0"/>
          <w:sz w:val="18"/>
        </w:rPr>
        <w:t>----------------------------------------结束----------------------------------------</w:t>
      </w:r>
    </w:p>
    <w:sectPr w:rsidR="00C95045" w:rsidRPr="00694756" w:rsidSect="00A203B4">
      <w:headerReference w:type="default" r:id="rId17"/>
      <w:footerReference w:type="default" r:id="rId18"/>
      <w:pgSz w:w="11906" w:h="16838"/>
      <w:pgMar w:top="936" w:right="1080" w:bottom="93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EA966" w14:textId="77777777" w:rsidR="007B3093" w:rsidRDefault="007B3093" w:rsidP="00A9502E">
      <w:pPr>
        <w:spacing w:before="0"/>
      </w:pPr>
      <w:r>
        <w:separator/>
      </w:r>
    </w:p>
  </w:endnote>
  <w:endnote w:type="continuationSeparator" w:id="0">
    <w:p w14:paraId="10C1EC84" w14:textId="77777777" w:rsidR="007B3093" w:rsidRDefault="007B3093" w:rsidP="00A9502E">
      <w:pPr>
        <w:spacing w:before="0"/>
      </w:pPr>
      <w:r>
        <w:continuationSeparator/>
      </w:r>
    </w:p>
  </w:endnote>
</w:endnotes>
</file>

<file path=word/fontTable.xml><?xml version="1.0" encoding="utf-8"?>
<w:fonts xmlns:w="http://schemas.openxmlformats.org/wordprocessingml/2006/main">
  <w:font w:name="Symbol">
    <w:charset w:val="00"/>
  </w:font>
  <w:font w:name="Wingdings">
    <w:charset w:val="00"/>
  </w:font>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07361"/>
      <w:docPartObj>
        <w:docPartGallery w:val="Page Numbers (Bottom of Page)"/>
        <w:docPartUnique/>
      </w:docPartObj>
    </w:sdtPr>
    <w:sdtEndPr>
      <w:rPr>
        <w:noProof/>
      </w:rPr>
    </w:sdtEndPr>
    <w:sdtContent>
      <w:p w14:paraId="4249988E" w14:textId="51DB7573" w:rsidR="00B34DFF" w:rsidRDefault="00B34DFF">
        <w:pPr>
          <w:pStyle w:val="a3"/>
          <w:jc w:val="right"/>
        </w:pPr>
        <w:r>
          <w:fldChar w:fldCharType="begin"/>
        </w:r>
        <w:r>
          <w:instrText xml:space="preserve"> PAGE   \* MERGEFORMAT </w:instrText>
        </w:r>
        <w:r>
          <w:fldChar w:fldCharType="separate"/>
        </w:r>
        <w:r>
          <w:rPr>
            <w:noProof/>
          </w:rPr>
          <w:t>2</w:t>
        </w:r>
        <w:r>
          <w:rPr>
            <w:noProof/>
          </w:rPr>
          <w:fldChar w:fldCharType="end"/>
        </w:r>
      </w:p>
    </w:sdtContent>
  </w:sdt>
  <w:p w14:paraId="2B558783" w14:textId="77777777" w:rsidR="00B34DFF" w:rsidRDefault="00B34DF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B3983" w14:textId="77777777" w:rsidR="007B3093" w:rsidRDefault="007B3093" w:rsidP="00A9502E">
      <w:pPr>
        <w:spacing w:before="0"/>
      </w:pPr>
      <w:r>
        <w:separator/>
      </w:r>
    </w:p>
  </w:footnote>
  <w:footnote w:type="continuationSeparator" w:id="0">
    <w:p w14:paraId="29DFC4E0" w14:textId="77777777" w:rsidR="007B3093" w:rsidRDefault="007B3093" w:rsidP="00A9502E">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1F8F5" w14:textId="599A2B6D" w:rsidR="00A9502E" w:rsidRDefault="00A9502E">
    <w:pPr>
      <w:pStyle w:val="af9"/>
    </w:pPr>
    <w:r w:rsidRPr="00A9502E">
      <w:rPr>
        <w:noProof/>
      </w:rPr>
      <w:drawing>
        <wp:inline distT="0" distB="0" distL="0" distR="0" wp14:anchorId="2B18C46E" wp14:editId="15BAD590">
          <wp:extent cx="1880436" cy="885825"/>
          <wp:effectExtent l="0" t="0" r="5715" b="0"/>
          <wp:docPr id="11" name="Picture 10">
            <a:extLst xmlns:a="http://schemas.openxmlformats.org/drawingml/2006/main">
              <a:ext uri="{FF2B5EF4-FFF2-40B4-BE49-F238E27FC236}">
                <a16:creationId xmlns:a16="http://schemas.microsoft.com/office/drawing/2014/main" id="{85775F0B-6334-2F46-9B7D-AA2C76DF64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85775F0B-6334-2F46-9B7D-AA2C76DF647A}"/>
                      </a:ext>
                    </a:extLst>
                  </pic:cNvPr>
                  <pic:cNvPicPr>
                    <a:picLocks noChangeAspect="1"/>
                  </pic:cNvPicPr>
                </pic:nvPicPr>
                <pic:blipFill>
                  <a:blip r:embed="rId1" cstate="email">
                    <a:extLst>
                      <a:ext uri="{28A0092B-C50C-407E-A947-70E740481C1C}">
                        <a14:useLocalDpi xmlns:a14="http://schemas.microsoft.com/office/drawing/2010/main"/>
                      </a:ext>
                    </a:extLst>
                  </a:blip>
                  <a:stretch>
                    <a:fillRect/>
                  </a:stretch>
                </pic:blipFill>
                <pic:spPr>
                  <a:xfrm>
                    <a:off x="0" y="0"/>
                    <a:ext cx="1885981" cy="888437"/>
                  </a:xfrm>
                  <a:prstGeom prst="rect">
                    <a:avLst/>
                  </a:prstGeom>
                </pic:spPr>
              </pic:pic>
            </a:graphicData>
          </a:graphic>
        </wp:inline>
      </w:drawing>
    </w:r>
  </w:p>
  <w:p w14:paraId="6B864576" w14:textId="77777777" w:rsidR="00A9502E" w:rsidRDefault="00A9502E">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A1AB1"/>
    <w:multiLevelType w:val="hybridMultilevel"/>
    <w:tmpl w:val="921E20BA"/>
    <w:lvl w:ilvl="0" w:tplc="147C37AE">
      <w:start w:val="2"/>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6CC7A47"/>
    <w:multiLevelType w:val="hybridMultilevel"/>
    <w:tmpl w:val="46021D8E"/>
    <w:lvl w:ilvl="0" w:tplc="DE5870DC">
      <w:start w:val="3"/>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9292059"/>
    <w:multiLevelType w:val="hybridMultilevel"/>
    <w:tmpl w:val="B7525452"/>
    <w:lvl w:ilvl="0" w:tplc="528EA63C">
      <w:start w:val="1"/>
      <w:numFmt w:val="decimal"/>
      <w:lvlText w:val="%1."/>
      <w:lvlJc w:val="left"/>
      <w:pPr>
        <w:ind w:left="360" w:hanging="360"/>
      </w:pPr>
      <w:rPr>
        <w:rFonts w:hint="default" w:ascii="黑体" w:hAnsi="黑体" w:eastAsia="黑体" w:cs="黑体"/>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0D9842BE"/>
    <w:multiLevelType w:val="hybridMultilevel"/>
    <w:tmpl w:val="8352426C"/>
    <w:lvl w:ilvl="0" w:tplc="5E58E630">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76E794B"/>
    <w:multiLevelType w:val="hybridMultilevel"/>
    <w:tmpl w:val="11BCB492"/>
    <w:lvl w:ilvl="0" w:tplc="6B08A12E">
      <w:start w:val="8"/>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20CD0E09"/>
    <w:multiLevelType w:val="hybridMultilevel"/>
    <w:tmpl w:val="2E6A0BB6"/>
    <w:lvl w:ilvl="0" w:tplc="AB8C9454">
      <w:start w:val="1"/>
      <w:numFmt w:val="decimal"/>
      <w:pStyle w:val="Numbered1"/>
      <w:lvlText w:val="%1."/>
      <w:lvlJc w:val="left"/>
      <w:pPr>
        <w:ind w:left="1080" w:hanging="360"/>
      </w:pPr>
      <w:rPr>
        <w:rFonts w:hint="default" w:ascii="宋体" w:hAnsi="宋体" w:eastAsia="宋体" w:cs="宋体"/>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14B6843"/>
    <w:multiLevelType w:val="multilevel"/>
    <w:tmpl w:val="9BB01E42"/>
    <w:lvl w:ilvl="0">
      <w:start w:val="1"/>
      <w:numFmt w:val="decimal"/>
      <w:pStyle w:val="1"/>
      <w:lvlText w:val="%1"/>
      <w:lvlJc w:val="left"/>
      <w:pPr>
        <w:ind w:left="578" w:hanging="578"/>
      </w:pPr>
      <w:rPr>
        <w:rFonts w:hint="default" w:ascii="宋体" w:hAnsi="宋体" w:eastAsia="宋体" w:cs="宋体"/>
      </w:rPr>
    </w:lvl>
    <w:lvl w:ilvl="1">
      <w:start w:val="1"/>
      <w:numFmt w:val="decimal"/>
      <w:pStyle w:val="2"/>
      <w:lvlText w:val="%1.%2"/>
      <w:lvlJc w:val="left"/>
      <w:pPr>
        <w:ind w:left="576" w:hanging="576"/>
      </w:pPr>
      <w:rPr>
        <w:rFonts w:hint="default" w:ascii="宋体" w:hAnsi="宋体" w:eastAsia="宋体" w:cs="宋体"/>
      </w:rPr>
    </w:lvl>
    <w:lvl w:ilvl="2">
      <w:start w:val="1"/>
      <w:numFmt w:val="decimal"/>
      <w:pStyle w:val="3"/>
      <w:lvlText w:val="%1.%2.%3"/>
      <w:lvlJc w:val="left"/>
      <w:pPr>
        <w:ind w:left="720" w:hanging="720"/>
      </w:pPr>
      <w:rPr>
        <w:rFonts w:hint="default" w:ascii="宋体" w:hAnsi="宋体" w:eastAsia="宋体" w:cs="宋体"/>
      </w:rPr>
    </w:lvl>
    <w:lvl w:ilvl="3">
      <w:start w:val="1"/>
      <w:numFmt w:val="decimal"/>
      <w:pStyle w:val="4"/>
      <w:lvlText w:val="%1.%2.%3.%4"/>
      <w:lvlJc w:val="left"/>
      <w:pPr>
        <w:ind w:left="864" w:hanging="864"/>
      </w:pPr>
      <w:rPr>
        <w:rFonts w:hint="default" w:ascii="宋体" w:hAnsi="宋体" w:eastAsia="宋体" w:cs="宋体"/>
      </w:rPr>
    </w:lvl>
    <w:lvl w:ilvl="4">
      <w:start w:val="1"/>
      <w:numFmt w:val="decimal"/>
      <w:pStyle w:val="5"/>
      <w:lvlText w:val="%1.%2.%3.%4.%5"/>
      <w:lvlJc w:val="left"/>
      <w:pPr>
        <w:ind w:left="1008" w:hanging="1008"/>
      </w:pPr>
      <w:rPr>
        <w:rFonts w:hint="default" w:ascii="宋体" w:hAnsi="宋体" w:eastAsia="宋体" w:cs="宋体"/>
      </w:rPr>
    </w:lvl>
    <w:lvl w:ilvl="5">
      <w:start w:val="1"/>
      <w:numFmt w:val="decimal"/>
      <w:pStyle w:val="6"/>
      <w:lvlText w:val="%1.%2.%3.%4.%5.%6"/>
      <w:lvlJc w:val="left"/>
      <w:pPr>
        <w:ind w:left="1152" w:hanging="1152"/>
      </w:pPr>
      <w:rPr>
        <w:rFonts w:hint="default" w:ascii="宋体" w:hAnsi="宋体" w:eastAsia="宋体" w:cs="宋体"/>
      </w:rPr>
    </w:lvl>
    <w:lvl w:ilvl="6">
      <w:start w:val="1"/>
      <w:numFmt w:val="decimal"/>
      <w:pStyle w:val="7"/>
      <w:lvlText w:val="%1.%2.%3.%4.%5.%6.%7"/>
      <w:lvlJc w:val="left"/>
      <w:pPr>
        <w:ind w:left="1296" w:hanging="1296"/>
      </w:pPr>
      <w:rPr>
        <w:rFonts w:hint="default" w:ascii="宋体" w:hAnsi="宋体" w:eastAsia="宋体" w:cs="宋体"/>
      </w:rPr>
    </w:lvl>
    <w:lvl w:ilvl="7">
      <w:start w:val="1"/>
      <w:numFmt w:val="decimal"/>
      <w:pStyle w:val="8"/>
      <w:lvlText w:val="%1.%2.%3.%4.%5.%6.%7.%8"/>
      <w:lvlJc w:val="left"/>
      <w:pPr>
        <w:ind w:left="1440" w:hanging="1440"/>
      </w:pPr>
      <w:rPr>
        <w:rFonts w:hint="default" w:ascii="宋体" w:hAnsi="宋体" w:eastAsia="宋体" w:cs="宋体"/>
      </w:rPr>
    </w:lvl>
    <w:lvl w:ilvl="8">
      <w:start w:val="1"/>
      <w:numFmt w:val="decimal"/>
      <w:pStyle w:val="9"/>
      <w:lvlText w:val="%1.%2.%3.%4.%5.%6.%7.%8.%9"/>
      <w:lvlJc w:val="left"/>
      <w:pPr>
        <w:ind w:left="1584" w:hanging="1584"/>
      </w:pPr>
      <w:rPr>
        <w:rFonts w:hint="default" w:ascii="宋体" w:hAnsi="宋体" w:eastAsia="宋体" w:cs="宋体"/>
      </w:rPr>
    </w:lvl>
  </w:abstractNum>
  <w:abstractNum w:abstractNumId="7" w15:restartNumberingAfterBreak="0">
    <w:nsid w:val="25376C5A"/>
    <w:multiLevelType w:val="hybridMultilevel"/>
    <w:tmpl w:val="DF647C0E"/>
    <w:lvl w:ilvl="0" w:tplc="9AB82920">
      <w:start w:val="5"/>
      <w:numFmt w:val="decimal"/>
      <w:lvlText w:val="%1"/>
      <w:lvlJc w:val="left"/>
      <w:pPr>
        <w:ind w:left="360" w:hanging="360"/>
      </w:pPr>
      <w:rPr>
        <w:rFonts w:hint="default" w:ascii="宋体" w:hAnsi="宋体" w:eastAsia="宋体" w:cs="宋体"/>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2F3F39FE"/>
    <w:multiLevelType w:val="hybridMultilevel"/>
    <w:tmpl w:val="1D8035DC"/>
    <w:lvl w:ilvl="0" w:tplc="FE7458D4">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3294A5A"/>
    <w:multiLevelType w:val="hybridMultilevel"/>
    <w:tmpl w:val="D6F86318"/>
    <w:lvl w:ilvl="0" w:tplc="0504ED22">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D1724F7"/>
    <w:multiLevelType w:val="hybridMultilevel"/>
    <w:tmpl w:val="38B25A2C"/>
    <w:lvl w:ilvl="0" w:tplc="6CFA0F4C">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511E3A15"/>
    <w:multiLevelType w:val="hybridMultilevel"/>
    <w:tmpl w:val="94FE716C"/>
    <w:lvl w:ilvl="0" w:tplc="BB3A3018">
      <w:start w:val="5"/>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5A4A1DC9"/>
    <w:multiLevelType w:val="hybridMultilevel"/>
    <w:tmpl w:val="22F47766"/>
    <w:lvl w:ilvl="0" w:tplc="19B48822">
      <w:start w:val="5"/>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5F175213"/>
    <w:multiLevelType w:val="multilevel"/>
    <w:tmpl w:val="100C001D"/>
    <w:styleLink w:val="SGS"/>
    <w:lvl w:ilvl="0">
      <w:start w:val="1"/>
      <w:numFmt w:val="bullet"/>
      <w:lvlText w:val="■"/>
      <w:lvlJc w:val="left"/>
      <w:pPr>
        <w:ind w:left="360" w:hanging="360"/>
      </w:pPr>
      <w:rPr>
        <w:rFonts w:ascii="宋体" w:hAnsi="宋体" w:hint="default" w:eastAsia="宋体" w:cs="宋体"/>
        <w:color w:val="FF9900"/>
      </w:rPr>
    </w:lvl>
    <w:lvl w:ilvl="1">
      <w:start w:val="1"/>
      <w:numFmt w:val="bullet"/>
      <w:lvlText w:val="■"/>
      <w:lvlJc w:val="left"/>
      <w:pPr>
        <w:ind w:left="720" w:hanging="360"/>
      </w:pPr>
      <w:rPr>
        <w:rFonts w:ascii="宋体" w:hAnsi="宋体" w:hint="default" w:eastAsia="宋体" w:cs="宋体"/>
        <w:color w:val="FF9900"/>
        <w:sz w:val="16"/>
      </w:rPr>
    </w:lvl>
    <w:lvl w:ilvl="2">
      <w:start w:val="1"/>
      <w:numFmt w:val="bullet"/>
      <w:lvlText w:val="•"/>
      <w:lvlJc w:val="left"/>
      <w:pPr>
        <w:ind w:left="1080" w:hanging="360"/>
      </w:pPr>
      <w:rPr>
        <w:rFonts w:ascii="宋体" w:hAnsi="宋体" w:hint="default" w:eastAsia="宋体" w:cs="宋体"/>
        <w:color w:val="000000" w:themeColor="text1"/>
      </w:rPr>
    </w:lvl>
    <w:lvl w:ilvl="3">
      <w:start w:val="1"/>
      <w:numFmt w:val="bullet"/>
      <w:lvlText w:val="▪"/>
      <w:lvlJc w:val="left"/>
      <w:pPr>
        <w:ind w:left="1440" w:hanging="360"/>
      </w:pPr>
      <w:rPr>
        <w:rFonts w:ascii="宋体" w:hAnsi="宋体" w:hint="default" w:eastAsia="宋体" w:cs="宋体"/>
        <w:color w:val="000000" w:themeColor="text1"/>
      </w:rPr>
    </w:lvl>
    <w:lvl w:ilvl="4">
      <w:start w:val="1"/>
      <w:numFmt w:val="bullet"/>
      <w:lvlText w:val="-"/>
      <w:lvlJc w:val="left"/>
      <w:pPr>
        <w:ind w:left="1800" w:hanging="360"/>
      </w:pPr>
      <w:rPr>
        <w:rFonts w:ascii="宋体" w:hAnsi="宋体" w:hint="default" w:eastAsia="宋体" w:cs="宋体"/>
        <w:color w:val="000000" w:themeColor="text1"/>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10C4F32"/>
    <w:multiLevelType w:val="hybridMultilevel"/>
    <w:tmpl w:val="84508CAC"/>
    <w:lvl w:ilvl="0" w:tplc="D5FE2826">
      <w:start w:val="5"/>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638C5117"/>
    <w:multiLevelType w:val="multilevel"/>
    <w:tmpl w:val="100C001D"/>
    <w:styleLink w:val="Style1"/>
    <w:lvl w:ilvl="0">
      <w:start w:val="1"/>
      <w:numFmt w:val="bullet"/>
      <w:lvlText w:val="■"/>
      <w:lvlJc w:val="left"/>
      <w:pPr>
        <w:ind w:left="360" w:hanging="360"/>
      </w:pPr>
      <w:rPr>
        <w:rFonts w:ascii="宋体" w:hAnsi="宋体" w:hint="default" w:eastAsia="宋体" w:cs="宋体"/>
        <w:color w:val="FF9900"/>
      </w:rPr>
    </w:lvl>
    <w:lvl w:ilvl="1">
      <w:start w:val="1"/>
      <w:numFmt w:val="bullet"/>
      <w:lvlText w:val="■"/>
      <w:lvlJc w:val="left"/>
      <w:pPr>
        <w:ind w:left="720" w:hanging="360"/>
      </w:pPr>
      <w:rPr>
        <w:rFonts w:ascii="宋体" w:hAnsi="宋体" w:hint="default" w:eastAsia="宋体" w:cs="宋体"/>
        <w:color w:val="FF9900"/>
        <w:sz w:val="16"/>
      </w:rPr>
    </w:lvl>
    <w:lvl w:ilvl="2">
      <w:start w:val="1"/>
      <w:numFmt w:val="bullet"/>
      <w:lvlText w:val="•"/>
      <w:lvlJc w:val="left"/>
      <w:pPr>
        <w:ind w:left="1080" w:hanging="360"/>
      </w:pPr>
      <w:rPr>
        <w:rFonts w:ascii="宋体" w:hAnsi="宋体" w:hint="default" w:eastAsia="宋体" w:cs="宋体"/>
        <w:color w:val="000000" w:themeColor="text1"/>
      </w:rPr>
    </w:lvl>
    <w:lvl w:ilvl="3">
      <w:start w:val="1"/>
      <w:numFmt w:val="bullet"/>
      <w:lvlText w:val="▪"/>
      <w:lvlJc w:val="left"/>
      <w:pPr>
        <w:ind w:left="1440" w:hanging="360"/>
      </w:pPr>
      <w:rPr>
        <w:rFonts w:ascii="宋体" w:hAnsi="宋体" w:hint="default" w:eastAsia="宋体" w:cs="宋体"/>
        <w:color w:val="000000" w:themeColor="text1"/>
      </w:rPr>
    </w:lvl>
    <w:lvl w:ilvl="4">
      <w:start w:val="1"/>
      <w:numFmt w:val="bullet"/>
      <w:lvlText w:val="-"/>
      <w:lvlJc w:val="left"/>
      <w:pPr>
        <w:ind w:left="1800" w:hanging="360"/>
      </w:pPr>
      <w:rPr>
        <w:rFonts w:ascii="宋体" w:hAnsi="宋体" w:hint="default" w:eastAsia="宋体" w:cs="宋体"/>
        <w:color w:val="000000" w:themeColor="text1"/>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827002F"/>
    <w:multiLevelType w:val="hybridMultilevel"/>
    <w:tmpl w:val="82C666C2"/>
    <w:lvl w:ilvl="0" w:tplc="4A143A22">
      <w:start w:val="2"/>
      <w:numFmt w:val="decimal"/>
      <w:lvlText w:val="%1"/>
      <w:lvlJc w:val="left"/>
      <w:pPr>
        <w:ind w:left="720" w:hanging="360"/>
      </w:pPr>
      <w:rPr>
        <w:rFonts w:hint="default" w:ascii="宋体" w:hAnsi="宋体" w:eastAsia="宋体" w:cs="宋体"/>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1E195A"/>
    <w:multiLevelType w:val="hybridMultilevel"/>
    <w:tmpl w:val="3356B02C"/>
    <w:lvl w:ilvl="0" w:tplc="50F8C110">
      <w:start w:val="5"/>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70D15105"/>
    <w:multiLevelType w:val="hybridMultilevel"/>
    <w:tmpl w:val="79F64A5A"/>
    <w:lvl w:ilvl="0" w:tplc="D5FA7D64">
      <w:start w:val="1"/>
      <w:numFmt w:val="bullet"/>
      <w:pStyle w:val="List1"/>
      <w:lvlText w:val=""/>
      <w:lvlJc w:val="left"/>
      <w:pPr>
        <w:ind w:left="720" w:hanging="360"/>
      </w:pPr>
      <w:rPr>
        <w:rFonts w:ascii="Symbol" w:hAnsi="Symbol" w:hint="default" w:eastAsia="Symbol" w:cs="Symbol"/>
      </w:rPr>
    </w:lvl>
    <w:lvl w:ilvl="1" w:tplc="08090003" w:tentative="1">
      <w:start w:val="1"/>
      <w:numFmt w:val="bullet"/>
      <w:lvlText w:val="o"/>
      <w:lvlJc w:val="left"/>
      <w:pPr>
        <w:ind w:left="1440" w:hanging="360"/>
      </w:pPr>
      <w:rPr>
        <w:rFonts w:ascii="宋体" w:hAnsi="宋体" w:cs="宋体" w:hint="default" w:eastAsia="宋体"/>
      </w:rPr>
    </w:lvl>
    <w:lvl w:ilvl="2" w:tplc="08090005" w:tentative="1">
      <w:start w:val="1"/>
      <w:numFmt w:val="bullet"/>
      <w:lvlText w:val=""/>
      <w:lvlJc w:val="left"/>
      <w:pPr>
        <w:ind w:left="2160" w:hanging="360"/>
      </w:pPr>
      <w:rPr>
        <w:rFonts w:ascii="Wingdings" w:hAnsi="Wingdings" w:hint="default" w:eastAsia="Wingdings" w:cs="Wingdings"/>
      </w:rPr>
    </w:lvl>
    <w:lvl w:ilvl="3" w:tplc="08090001" w:tentative="1">
      <w:start w:val="1"/>
      <w:numFmt w:val="bullet"/>
      <w:lvlText w:val=""/>
      <w:lvlJc w:val="left"/>
      <w:pPr>
        <w:ind w:left="2880" w:hanging="360"/>
      </w:pPr>
      <w:rPr>
        <w:rFonts w:ascii="Symbol" w:hAnsi="Symbol" w:hint="default" w:eastAsia="Symbol" w:cs="Symbol"/>
      </w:rPr>
    </w:lvl>
    <w:lvl w:ilvl="4" w:tplc="08090003" w:tentative="1">
      <w:start w:val="1"/>
      <w:numFmt w:val="bullet"/>
      <w:lvlText w:val="o"/>
      <w:lvlJc w:val="left"/>
      <w:pPr>
        <w:ind w:left="3600" w:hanging="360"/>
      </w:pPr>
      <w:rPr>
        <w:rFonts w:ascii="宋体" w:hAnsi="宋体" w:cs="宋体" w:hint="default" w:eastAsia="宋体"/>
      </w:rPr>
    </w:lvl>
    <w:lvl w:ilvl="5" w:tplc="08090005" w:tentative="1">
      <w:start w:val="1"/>
      <w:numFmt w:val="bullet"/>
      <w:lvlText w:val=""/>
      <w:lvlJc w:val="left"/>
      <w:pPr>
        <w:ind w:left="4320" w:hanging="360"/>
      </w:pPr>
      <w:rPr>
        <w:rFonts w:ascii="Wingdings" w:hAnsi="Wingdings" w:hint="default" w:eastAsia="Wingdings" w:cs="Wingdings"/>
      </w:rPr>
    </w:lvl>
    <w:lvl w:ilvl="6" w:tplc="08090001" w:tentative="1">
      <w:start w:val="1"/>
      <w:numFmt w:val="bullet"/>
      <w:lvlText w:val=""/>
      <w:lvlJc w:val="left"/>
      <w:pPr>
        <w:ind w:left="5040" w:hanging="360"/>
      </w:pPr>
      <w:rPr>
        <w:rFonts w:ascii="Symbol" w:hAnsi="Symbol" w:hint="default" w:eastAsia="Symbol" w:cs="Symbol"/>
      </w:rPr>
    </w:lvl>
    <w:lvl w:ilvl="7" w:tplc="08090003" w:tentative="1">
      <w:start w:val="1"/>
      <w:numFmt w:val="bullet"/>
      <w:lvlText w:val="o"/>
      <w:lvlJc w:val="left"/>
      <w:pPr>
        <w:ind w:left="5760" w:hanging="360"/>
      </w:pPr>
      <w:rPr>
        <w:rFonts w:ascii="宋体" w:hAnsi="宋体" w:cs="宋体" w:hint="default" w:eastAsia="宋体"/>
      </w:rPr>
    </w:lvl>
    <w:lvl w:ilvl="8" w:tplc="08090005" w:tentative="1">
      <w:start w:val="1"/>
      <w:numFmt w:val="bullet"/>
      <w:lvlText w:val=""/>
      <w:lvlJc w:val="left"/>
      <w:pPr>
        <w:ind w:left="6480" w:hanging="360"/>
      </w:pPr>
      <w:rPr>
        <w:rFonts w:ascii="Wingdings" w:hAnsi="Wingdings" w:hint="default" w:eastAsia="Wingdings" w:cs="Wingdings"/>
      </w:rPr>
    </w:lvl>
  </w:abstractNum>
  <w:abstractNum w:abstractNumId="19" w15:restartNumberingAfterBreak="0">
    <w:nsid w:val="76167438"/>
    <w:multiLevelType w:val="hybridMultilevel"/>
    <w:tmpl w:val="13D400FE"/>
    <w:lvl w:ilvl="0" w:tplc="C6E8660A">
      <w:start w:val="3"/>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77D85D9B"/>
    <w:multiLevelType w:val="hybridMultilevel"/>
    <w:tmpl w:val="6826FB3C"/>
    <w:lvl w:ilvl="0" w:tplc="65781C92">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15:restartNumberingAfterBreak="0">
    <w:nsid w:val="79144477"/>
    <w:multiLevelType w:val="hybridMultilevel"/>
    <w:tmpl w:val="6CEC001C"/>
    <w:lvl w:ilvl="0" w:tplc="BACEED9E">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762343580">
    <w:abstractNumId w:val="6"/>
  </w:num>
  <w:num w:numId="2" w16cid:durableId="2062556140">
    <w:abstractNumId w:val="18"/>
  </w:num>
  <w:num w:numId="3" w16cid:durableId="720207222">
    <w:abstractNumId w:val="5"/>
  </w:num>
  <w:num w:numId="4" w16cid:durableId="624040483">
    <w:abstractNumId w:val="15"/>
  </w:num>
  <w:num w:numId="5" w16cid:durableId="1367104030">
    <w:abstractNumId w:val="13"/>
  </w:num>
  <w:num w:numId="6" w16cid:durableId="1558011995">
    <w:abstractNumId w:val="5"/>
  </w:num>
  <w:num w:numId="7" w16cid:durableId="1477408203">
    <w:abstractNumId w:val="18"/>
  </w:num>
  <w:num w:numId="8" w16cid:durableId="1869486266">
    <w:abstractNumId w:val="6"/>
  </w:num>
  <w:num w:numId="9" w16cid:durableId="332882075">
    <w:abstractNumId w:val="6"/>
  </w:num>
  <w:num w:numId="10" w16cid:durableId="541752175">
    <w:abstractNumId w:val="6"/>
  </w:num>
  <w:num w:numId="11" w16cid:durableId="59602614">
    <w:abstractNumId w:val="6"/>
  </w:num>
  <w:num w:numId="12" w16cid:durableId="1738360202">
    <w:abstractNumId w:val="6"/>
  </w:num>
  <w:num w:numId="13" w16cid:durableId="1886453761">
    <w:abstractNumId w:val="6"/>
  </w:num>
  <w:num w:numId="14" w16cid:durableId="1813478220">
    <w:abstractNumId w:val="6"/>
  </w:num>
  <w:num w:numId="15" w16cid:durableId="1392078643">
    <w:abstractNumId w:val="6"/>
  </w:num>
  <w:num w:numId="16" w16cid:durableId="85620886">
    <w:abstractNumId w:val="6"/>
  </w:num>
  <w:num w:numId="17" w16cid:durableId="292178531">
    <w:abstractNumId w:val="6"/>
  </w:num>
  <w:num w:numId="18" w16cid:durableId="547960984">
    <w:abstractNumId w:val="18"/>
  </w:num>
  <w:num w:numId="19" w16cid:durableId="262153012">
    <w:abstractNumId w:val="5"/>
  </w:num>
  <w:num w:numId="20" w16cid:durableId="198930355">
    <w:abstractNumId w:val="6"/>
  </w:num>
  <w:num w:numId="21" w16cid:durableId="2107114912">
    <w:abstractNumId w:val="15"/>
  </w:num>
  <w:num w:numId="22" w16cid:durableId="2131387687">
    <w:abstractNumId w:val="13"/>
  </w:num>
  <w:num w:numId="23" w16cid:durableId="617223694">
    <w:abstractNumId w:val="6"/>
  </w:num>
  <w:num w:numId="24" w16cid:durableId="308174482">
    <w:abstractNumId w:val="11"/>
  </w:num>
  <w:num w:numId="25" w16cid:durableId="1829781595">
    <w:abstractNumId w:val="4"/>
  </w:num>
  <w:num w:numId="26" w16cid:durableId="2021006674">
    <w:abstractNumId w:val="12"/>
  </w:num>
  <w:num w:numId="27" w16cid:durableId="955986422">
    <w:abstractNumId w:val="14"/>
  </w:num>
  <w:num w:numId="28" w16cid:durableId="429206661">
    <w:abstractNumId w:val="17"/>
  </w:num>
  <w:num w:numId="29" w16cid:durableId="1451507811">
    <w:abstractNumId w:val="7"/>
  </w:num>
  <w:num w:numId="30" w16cid:durableId="1811554898">
    <w:abstractNumId w:val="1"/>
  </w:num>
  <w:num w:numId="31" w16cid:durableId="789667805">
    <w:abstractNumId w:val="19"/>
  </w:num>
  <w:num w:numId="32" w16cid:durableId="931353020">
    <w:abstractNumId w:val="6"/>
  </w:num>
  <w:num w:numId="33" w16cid:durableId="1117529531">
    <w:abstractNumId w:val="6"/>
  </w:num>
  <w:num w:numId="34" w16cid:durableId="150172186">
    <w:abstractNumId w:val="6"/>
  </w:num>
  <w:num w:numId="35" w16cid:durableId="2052875427">
    <w:abstractNumId w:val="6"/>
  </w:num>
  <w:num w:numId="36" w16cid:durableId="195625374">
    <w:abstractNumId w:val="6"/>
  </w:num>
  <w:num w:numId="37" w16cid:durableId="2134783426">
    <w:abstractNumId w:val="0"/>
  </w:num>
  <w:num w:numId="38" w16cid:durableId="1803503662">
    <w:abstractNumId w:val="6"/>
  </w:num>
  <w:num w:numId="39" w16cid:durableId="641812255">
    <w:abstractNumId w:val="10"/>
  </w:num>
  <w:num w:numId="40" w16cid:durableId="1249341533">
    <w:abstractNumId w:val="9"/>
  </w:num>
  <w:num w:numId="41" w16cid:durableId="1900240095">
    <w:abstractNumId w:val="20"/>
  </w:num>
  <w:num w:numId="42" w16cid:durableId="1827277005">
    <w:abstractNumId w:val="21"/>
  </w:num>
  <w:num w:numId="43" w16cid:durableId="1036351446">
    <w:abstractNumId w:val="3"/>
  </w:num>
  <w:num w:numId="44" w16cid:durableId="1474062415">
    <w:abstractNumId w:val="8"/>
  </w:num>
  <w:num w:numId="45" w16cid:durableId="17701299">
    <w:abstractNumId w:val="16"/>
  </w:num>
  <w:num w:numId="46" w16cid:durableId="319504811">
    <w:abstractNumId w:val="6"/>
  </w:num>
  <w:num w:numId="47" w16cid:durableId="333266917">
    <w:abstractNumId w:val="6"/>
  </w:num>
  <w:num w:numId="48" w16cid:durableId="1752119974">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E9F"/>
    <w:rsid w:val="0001524D"/>
    <w:rsid w:val="0005001B"/>
    <w:rsid w:val="00051572"/>
    <w:rsid w:val="000551F0"/>
    <w:rsid w:val="00063B07"/>
    <w:rsid w:val="000723E1"/>
    <w:rsid w:val="00072972"/>
    <w:rsid w:val="000732FD"/>
    <w:rsid w:val="00075016"/>
    <w:rsid w:val="00080335"/>
    <w:rsid w:val="00086974"/>
    <w:rsid w:val="000944A8"/>
    <w:rsid w:val="0009785F"/>
    <w:rsid w:val="000B0FED"/>
    <w:rsid w:val="000B2B7F"/>
    <w:rsid w:val="000B4456"/>
    <w:rsid w:val="000B50AA"/>
    <w:rsid w:val="000B5B1E"/>
    <w:rsid w:val="000B5F22"/>
    <w:rsid w:val="000C4601"/>
    <w:rsid w:val="000D4E4F"/>
    <w:rsid w:val="001000FA"/>
    <w:rsid w:val="00124F98"/>
    <w:rsid w:val="001404F4"/>
    <w:rsid w:val="00146D57"/>
    <w:rsid w:val="00155265"/>
    <w:rsid w:val="0017011F"/>
    <w:rsid w:val="00174F75"/>
    <w:rsid w:val="00175800"/>
    <w:rsid w:val="0019769E"/>
    <w:rsid w:val="001B0020"/>
    <w:rsid w:val="001B03D9"/>
    <w:rsid w:val="001B189F"/>
    <w:rsid w:val="001B6633"/>
    <w:rsid w:val="001B702B"/>
    <w:rsid w:val="001B7436"/>
    <w:rsid w:val="001C685E"/>
    <w:rsid w:val="001D0B06"/>
    <w:rsid w:val="001D49ED"/>
    <w:rsid w:val="001E3D3B"/>
    <w:rsid w:val="00205687"/>
    <w:rsid w:val="00206087"/>
    <w:rsid w:val="00216EC5"/>
    <w:rsid w:val="00223E52"/>
    <w:rsid w:val="00226ED0"/>
    <w:rsid w:val="00233BF0"/>
    <w:rsid w:val="00237DAE"/>
    <w:rsid w:val="00241F99"/>
    <w:rsid w:val="00242237"/>
    <w:rsid w:val="00256A14"/>
    <w:rsid w:val="00267266"/>
    <w:rsid w:val="00274058"/>
    <w:rsid w:val="00276085"/>
    <w:rsid w:val="002874F5"/>
    <w:rsid w:val="00291BE2"/>
    <w:rsid w:val="002A66F6"/>
    <w:rsid w:val="002A6E6E"/>
    <w:rsid w:val="002C0321"/>
    <w:rsid w:val="002C2F8E"/>
    <w:rsid w:val="002C6BB9"/>
    <w:rsid w:val="002D6D5B"/>
    <w:rsid w:val="002E0A86"/>
    <w:rsid w:val="00307AF3"/>
    <w:rsid w:val="003108BB"/>
    <w:rsid w:val="003133DC"/>
    <w:rsid w:val="0032700C"/>
    <w:rsid w:val="0033744B"/>
    <w:rsid w:val="00347880"/>
    <w:rsid w:val="00356A35"/>
    <w:rsid w:val="00362537"/>
    <w:rsid w:val="00366301"/>
    <w:rsid w:val="003870CE"/>
    <w:rsid w:val="00392802"/>
    <w:rsid w:val="00396417"/>
    <w:rsid w:val="003D383C"/>
    <w:rsid w:val="003E236B"/>
    <w:rsid w:val="003E4636"/>
    <w:rsid w:val="003F1603"/>
    <w:rsid w:val="003F5070"/>
    <w:rsid w:val="0040190E"/>
    <w:rsid w:val="0040795B"/>
    <w:rsid w:val="004107E1"/>
    <w:rsid w:val="004131DE"/>
    <w:rsid w:val="00414E5D"/>
    <w:rsid w:val="00421688"/>
    <w:rsid w:val="00437072"/>
    <w:rsid w:val="00437399"/>
    <w:rsid w:val="004408A2"/>
    <w:rsid w:val="004449B6"/>
    <w:rsid w:val="004504A4"/>
    <w:rsid w:val="00464CCD"/>
    <w:rsid w:val="00473D8E"/>
    <w:rsid w:val="00474F6D"/>
    <w:rsid w:val="00491008"/>
    <w:rsid w:val="004A7626"/>
    <w:rsid w:val="004B7A3A"/>
    <w:rsid w:val="004C40AF"/>
    <w:rsid w:val="004D4292"/>
    <w:rsid w:val="004E2C22"/>
    <w:rsid w:val="004F045E"/>
    <w:rsid w:val="004F14A2"/>
    <w:rsid w:val="00500259"/>
    <w:rsid w:val="0050261E"/>
    <w:rsid w:val="00513219"/>
    <w:rsid w:val="0051487F"/>
    <w:rsid w:val="00520378"/>
    <w:rsid w:val="00523446"/>
    <w:rsid w:val="00533155"/>
    <w:rsid w:val="005368E3"/>
    <w:rsid w:val="0056178F"/>
    <w:rsid w:val="005666AB"/>
    <w:rsid w:val="00567FE1"/>
    <w:rsid w:val="00577692"/>
    <w:rsid w:val="00587723"/>
    <w:rsid w:val="0059162E"/>
    <w:rsid w:val="005958A2"/>
    <w:rsid w:val="005A60A7"/>
    <w:rsid w:val="005B0BB7"/>
    <w:rsid w:val="005C105C"/>
    <w:rsid w:val="005C5B5D"/>
    <w:rsid w:val="005D50D1"/>
    <w:rsid w:val="005D7FA0"/>
    <w:rsid w:val="005F0704"/>
    <w:rsid w:val="005F56BF"/>
    <w:rsid w:val="00607EA5"/>
    <w:rsid w:val="006108C0"/>
    <w:rsid w:val="006319E2"/>
    <w:rsid w:val="00642B0C"/>
    <w:rsid w:val="00651DFA"/>
    <w:rsid w:val="00671B99"/>
    <w:rsid w:val="00675BF6"/>
    <w:rsid w:val="00677767"/>
    <w:rsid w:val="00692D7D"/>
    <w:rsid w:val="00694756"/>
    <w:rsid w:val="006B382B"/>
    <w:rsid w:val="006B5D43"/>
    <w:rsid w:val="006C3F59"/>
    <w:rsid w:val="006D555B"/>
    <w:rsid w:val="006E20EC"/>
    <w:rsid w:val="006F0E5A"/>
    <w:rsid w:val="00700C3D"/>
    <w:rsid w:val="007027FC"/>
    <w:rsid w:val="007047B5"/>
    <w:rsid w:val="007064E9"/>
    <w:rsid w:val="00722DC1"/>
    <w:rsid w:val="00727447"/>
    <w:rsid w:val="007329E5"/>
    <w:rsid w:val="0073564A"/>
    <w:rsid w:val="00742BA6"/>
    <w:rsid w:val="00753525"/>
    <w:rsid w:val="007608F3"/>
    <w:rsid w:val="00761864"/>
    <w:rsid w:val="007651A9"/>
    <w:rsid w:val="00771B86"/>
    <w:rsid w:val="00781BFD"/>
    <w:rsid w:val="0078330F"/>
    <w:rsid w:val="00784215"/>
    <w:rsid w:val="00796B72"/>
    <w:rsid w:val="007A5782"/>
    <w:rsid w:val="007A71F3"/>
    <w:rsid w:val="007A7759"/>
    <w:rsid w:val="007B3093"/>
    <w:rsid w:val="007B6F35"/>
    <w:rsid w:val="007C22EC"/>
    <w:rsid w:val="007D4FB0"/>
    <w:rsid w:val="007D5879"/>
    <w:rsid w:val="007D5C5A"/>
    <w:rsid w:val="007E35A4"/>
    <w:rsid w:val="007F159A"/>
    <w:rsid w:val="007F40E0"/>
    <w:rsid w:val="0081311A"/>
    <w:rsid w:val="0081368A"/>
    <w:rsid w:val="00820DE8"/>
    <w:rsid w:val="00823EFC"/>
    <w:rsid w:val="0082528E"/>
    <w:rsid w:val="00837F04"/>
    <w:rsid w:val="00841C84"/>
    <w:rsid w:val="00857A30"/>
    <w:rsid w:val="008722C9"/>
    <w:rsid w:val="008822D1"/>
    <w:rsid w:val="00883640"/>
    <w:rsid w:val="008940F8"/>
    <w:rsid w:val="008A16E4"/>
    <w:rsid w:val="008A4C9E"/>
    <w:rsid w:val="008C0E63"/>
    <w:rsid w:val="008D0EB8"/>
    <w:rsid w:val="008D1150"/>
    <w:rsid w:val="00901E69"/>
    <w:rsid w:val="009054FC"/>
    <w:rsid w:val="00906082"/>
    <w:rsid w:val="009157DF"/>
    <w:rsid w:val="00917681"/>
    <w:rsid w:val="00924507"/>
    <w:rsid w:val="00934D61"/>
    <w:rsid w:val="00947615"/>
    <w:rsid w:val="00960FEB"/>
    <w:rsid w:val="00974500"/>
    <w:rsid w:val="009772B3"/>
    <w:rsid w:val="00981971"/>
    <w:rsid w:val="00983820"/>
    <w:rsid w:val="00986573"/>
    <w:rsid w:val="00987E28"/>
    <w:rsid w:val="009A6D8E"/>
    <w:rsid w:val="009A75A5"/>
    <w:rsid w:val="009B2ACF"/>
    <w:rsid w:val="009B3D99"/>
    <w:rsid w:val="009B4E71"/>
    <w:rsid w:val="009C49B5"/>
    <w:rsid w:val="009C6EDF"/>
    <w:rsid w:val="009C7993"/>
    <w:rsid w:val="009C7BD8"/>
    <w:rsid w:val="009D2393"/>
    <w:rsid w:val="009D3951"/>
    <w:rsid w:val="009E5DC0"/>
    <w:rsid w:val="009E6DE7"/>
    <w:rsid w:val="009F386F"/>
    <w:rsid w:val="009F4A7D"/>
    <w:rsid w:val="00A13E9F"/>
    <w:rsid w:val="00A1453A"/>
    <w:rsid w:val="00A154BE"/>
    <w:rsid w:val="00A203B4"/>
    <w:rsid w:val="00A252D0"/>
    <w:rsid w:val="00A25AE2"/>
    <w:rsid w:val="00A25C83"/>
    <w:rsid w:val="00A326B6"/>
    <w:rsid w:val="00A36FA5"/>
    <w:rsid w:val="00A402D9"/>
    <w:rsid w:val="00A43B7D"/>
    <w:rsid w:val="00A56416"/>
    <w:rsid w:val="00A67582"/>
    <w:rsid w:val="00A9502E"/>
    <w:rsid w:val="00AB1178"/>
    <w:rsid w:val="00AB3B45"/>
    <w:rsid w:val="00AB684D"/>
    <w:rsid w:val="00AC22BB"/>
    <w:rsid w:val="00AE37DF"/>
    <w:rsid w:val="00AE5B9A"/>
    <w:rsid w:val="00AE71BA"/>
    <w:rsid w:val="00B05D00"/>
    <w:rsid w:val="00B11E98"/>
    <w:rsid w:val="00B201E3"/>
    <w:rsid w:val="00B208C7"/>
    <w:rsid w:val="00B34DFF"/>
    <w:rsid w:val="00B36452"/>
    <w:rsid w:val="00B403C5"/>
    <w:rsid w:val="00B40C4D"/>
    <w:rsid w:val="00B468B7"/>
    <w:rsid w:val="00B4696C"/>
    <w:rsid w:val="00B60A2C"/>
    <w:rsid w:val="00B63048"/>
    <w:rsid w:val="00B657B6"/>
    <w:rsid w:val="00B81FD7"/>
    <w:rsid w:val="00B865E8"/>
    <w:rsid w:val="00B903C3"/>
    <w:rsid w:val="00B9287D"/>
    <w:rsid w:val="00B95C7B"/>
    <w:rsid w:val="00BB5FC9"/>
    <w:rsid w:val="00BC686C"/>
    <w:rsid w:val="00BE21A1"/>
    <w:rsid w:val="00BF7273"/>
    <w:rsid w:val="00C060A3"/>
    <w:rsid w:val="00C101E4"/>
    <w:rsid w:val="00C174A5"/>
    <w:rsid w:val="00C17C10"/>
    <w:rsid w:val="00C26065"/>
    <w:rsid w:val="00C4049A"/>
    <w:rsid w:val="00C460E8"/>
    <w:rsid w:val="00C557FB"/>
    <w:rsid w:val="00C5651B"/>
    <w:rsid w:val="00C57D61"/>
    <w:rsid w:val="00C72CF6"/>
    <w:rsid w:val="00C774F1"/>
    <w:rsid w:val="00C8150C"/>
    <w:rsid w:val="00C91D6E"/>
    <w:rsid w:val="00C95045"/>
    <w:rsid w:val="00CA2053"/>
    <w:rsid w:val="00CB67F2"/>
    <w:rsid w:val="00CD1ED8"/>
    <w:rsid w:val="00CD4ED3"/>
    <w:rsid w:val="00CD518D"/>
    <w:rsid w:val="00CE72B0"/>
    <w:rsid w:val="00CF0145"/>
    <w:rsid w:val="00CF0D56"/>
    <w:rsid w:val="00CF34C0"/>
    <w:rsid w:val="00D14A10"/>
    <w:rsid w:val="00D2744C"/>
    <w:rsid w:val="00D305B5"/>
    <w:rsid w:val="00D40467"/>
    <w:rsid w:val="00D46E54"/>
    <w:rsid w:val="00D531B5"/>
    <w:rsid w:val="00D67EE3"/>
    <w:rsid w:val="00D724D2"/>
    <w:rsid w:val="00D756B4"/>
    <w:rsid w:val="00D81DCA"/>
    <w:rsid w:val="00D93292"/>
    <w:rsid w:val="00D93CE4"/>
    <w:rsid w:val="00DA1E0F"/>
    <w:rsid w:val="00DA5AB0"/>
    <w:rsid w:val="00DB343A"/>
    <w:rsid w:val="00DB6449"/>
    <w:rsid w:val="00DC553D"/>
    <w:rsid w:val="00DD01FE"/>
    <w:rsid w:val="00DD15EB"/>
    <w:rsid w:val="00DF4307"/>
    <w:rsid w:val="00E00C8B"/>
    <w:rsid w:val="00E14A99"/>
    <w:rsid w:val="00E224AA"/>
    <w:rsid w:val="00E225A4"/>
    <w:rsid w:val="00E269F5"/>
    <w:rsid w:val="00E275AD"/>
    <w:rsid w:val="00E31893"/>
    <w:rsid w:val="00E46A0C"/>
    <w:rsid w:val="00E549AD"/>
    <w:rsid w:val="00E65166"/>
    <w:rsid w:val="00E77D4B"/>
    <w:rsid w:val="00E82E31"/>
    <w:rsid w:val="00E85C06"/>
    <w:rsid w:val="00EA28BE"/>
    <w:rsid w:val="00EA5B9F"/>
    <w:rsid w:val="00EB7065"/>
    <w:rsid w:val="00EC0772"/>
    <w:rsid w:val="00ED0730"/>
    <w:rsid w:val="00ED3B66"/>
    <w:rsid w:val="00ED6AAB"/>
    <w:rsid w:val="00EE20EB"/>
    <w:rsid w:val="00EE417A"/>
    <w:rsid w:val="00EE784A"/>
    <w:rsid w:val="00EF2EA4"/>
    <w:rsid w:val="00EF5714"/>
    <w:rsid w:val="00EF6D2E"/>
    <w:rsid w:val="00EF75F3"/>
    <w:rsid w:val="00F0162F"/>
    <w:rsid w:val="00F04B2F"/>
    <w:rsid w:val="00F14771"/>
    <w:rsid w:val="00F22C80"/>
    <w:rsid w:val="00F30A01"/>
    <w:rsid w:val="00F42356"/>
    <w:rsid w:val="00F507A6"/>
    <w:rsid w:val="00F57112"/>
    <w:rsid w:val="00F673EB"/>
    <w:rsid w:val="00F73806"/>
    <w:rsid w:val="00F7474D"/>
    <w:rsid w:val="00F75313"/>
    <w:rsid w:val="00F75EA8"/>
    <w:rsid w:val="00F81EAD"/>
    <w:rsid w:val="00F93CA7"/>
    <w:rsid w:val="00F93DE9"/>
    <w:rsid w:val="00FA32C1"/>
    <w:rsid w:val="00FA5983"/>
    <w:rsid w:val="00FA5B27"/>
    <w:rsid w:val="00FC2961"/>
    <w:rsid w:val="00FC34F9"/>
    <w:rsid w:val="00FC71F7"/>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EF77E"/>
  <w15:chartTrackingRefBased/>
  <w15:docId w15:val="{C3E6729A-3B69-4FD5-8010-3C93F2FE79A4}"/>
  <w:embedSystemFonts w:val="false"/>
  <w:embedTrueTypeFonts w:val="false"/>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宋体" w:hAnsi="宋体" w:cstheme="majorBidi" w:eastAsia="宋体" w:cs="宋体"/>
        <w:lang w:val="en-GB" w:eastAsia="zh-CN" w:bidi="ar-SA"/>
      </w:rPr>
    </w:rPrDefault>
    <w:pPrDefault>
      <w:pPr>
        <w:spacing w:before="120"/>
        <w:ind w:left="709" w:hanging="709"/>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72CF6"/>
    <w:pPr>
      <w:ind w:left="0" w:firstLine="0"/>
    </w:pPr>
    <w:rPr>
      <w:rFonts w:cs="宋体" w:ascii="宋体" w:hAnsi="宋体" w:eastAsia="宋体"/>
      <w:color w:val="222222"/>
      <w:sz w:val="21"/>
      <w:szCs w:val="24"/>
      <w:lang w:eastAsia="fr-FR"/>
    </w:rPr>
  </w:style>
  <w:style w:type="paragraph" w:styleId="1">
    <w:name w:val="heading 1"/>
    <w:basedOn w:val="a"/>
    <w:next w:val="a"/>
    <w:link w:val="10"/>
    <w:uiPriority w:val="9"/>
    <w:qFormat/>
    <w:rsid w:val="00B403C5"/>
    <w:pPr>
      <w:keepNext/>
      <w:numPr>
        <w:numId w:val="23"/>
      </w:numPr>
      <w:spacing w:before="360" w:after="120"/>
      <w:outlineLvl w:val="0"/>
    </w:pPr>
    <w:rPr>
      <w:rFonts w:cs="黑体" w:ascii="黑体" w:hAnsi="黑体" w:eastAsia="黑体"/>
      <w:b/>
      <w:caps/>
      <w:color w:val="FF6600"/>
      <w:spacing w:val="20"/>
    </w:rPr>
  </w:style>
  <w:style w:type="paragraph" w:styleId="2">
    <w:name w:val="heading 2"/>
    <w:basedOn w:val="a"/>
    <w:next w:val="a"/>
    <w:link w:val="20"/>
    <w:uiPriority w:val="9"/>
    <w:qFormat/>
    <w:rsid w:val="00B403C5"/>
    <w:pPr>
      <w:numPr>
        <w:ilvl w:val="1"/>
        <w:numId w:val="23"/>
      </w:numPr>
      <w:pBdr>
        <w:bottom w:val="single" w:sz="4" w:space="1" w:color="FF6600"/>
      </w:pBdr>
      <w:spacing w:before="240"/>
      <w:outlineLvl w:val="1"/>
    </w:pPr>
    <w:rPr>
      <w:rFonts w:cs="黑体" w:ascii="黑体" w:hAnsi="黑体" w:eastAsia="黑体"/>
      <w:b/>
      <w:iCs/>
      <w:smallCaps/>
      <w:color w:val="363636"/>
      <w:spacing w:val="15"/>
      <w:kern w:val="32"/>
      <w:sz w:val="22"/>
    </w:rPr>
  </w:style>
  <w:style w:type="paragraph" w:styleId="3">
    <w:name w:val="heading 3"/>
    <w:basedOn w:val="a"/>
    <w:next w:val="a"/>
    <w:link w:val="30"/>
    <w:uiPriority w:val="9"/>
    <w:qFormat/>
    <w:rsid w:val="00B403C5"/>
    <w:pPr>
      <w:keepNext/>
      <w:numPr>
        <w:ilvl w:val="2"/>
        <w:numId w:val="23"/>
      </w:numPr>
      <w:spacing w:before="240" w:after="60"/>
      <w:outlineLvl w:val="2"/>
    </w:pPr>
    <w:rPr>
      <w:rFonts w:cs="黑体" w:ascii="黑体" w:hAnsi="黑体" w:eastAsia="黑体"/>
      <w:b/>
      <w:bCs/>
      <w:smallCaps/>
      <w:color w:val="FF6600"/>
    </w:rPr>
  </w:style>
  <w:style w:type="paragraph" w:styleId="4">
    <w:name w:val="heading 4"/>
    <w:basedOn w:val="a"/>
    <w:next w:val="a"/>
    <w:link w:val="40"/>
    <w:uiPriority w:val="9"/>
    <w:qFormat/>
    <w:rsid w:val="00B403C5"/>
    <w:pPr>
      <w:keepNext/>
      <w:numPr>
        <w:ilvl w:val="3"/>
        <w:numId w:val="23"/>
      </w:numPr>
      <w:outlineLvl w:val="3"/>
    </w:pPr>
    <w:rPr>
      <w:rFonts w:cstheme="majorBidi" w:ascii="宋体" w:hAnsi="宋体" w:eastAsia="宋体" w:cs="宋体"/>
      <w:bCs/>
      <w:sz w:val="18"/>
      <w:szCs w:val="28"/>
      <w:lang w:eastAsia="en-US" w:bidi="en-US"/>
    </w:rPr>
  </w:style>
  <w:style w:type="paragraph" w:styleId="5">
    <w:name w:val="heading 5"/>
    <w:basedOn w:val="a"/>
    <w:next w:val="a"/>
    <w:link w:val="50"/>
    <w:uiPriority w:val="9"/>
    <w:qFormat/>
    <w:rsid w:val="00B403C5"/>
    <w:pPr>
      <w:keepNext/>
      <w:keepLines/>
      <w:numPr>
        <w:ilvl w:val="4"/>
        <w:numId w:val="23"/>
      </w:numPr>
      <w:outlineLvl w:val="4"/>
    </w:pPr>
    <w:rPr>
      <w:sz w:val="18"/>
      <w:szCs w:val="22"/>
    </w:rPr>
  </w:style>
  <w:style w:type="paragraph" w:styleId="6">
    <w:name w:val="heading 6"/>
    <w:basedOn w:val="a"/>
    <w:next w:val="a"/>
    <w:link w:val="60"/>
    <w:uiPriority w:val="9"/>
    <w:qFormat/>
    <w:rsid w:val="00B403C5"/>
    <w:pPr>
      <w:numPr>
        <w:ilvl w:val="5"/>
        <w:numId w:val="23"/>
      </w:numPr>
      <w:spacing w:before="240" w:after="60"/>
      <w:outlineLvl w:val="5"/>
    </w:pPr>
    <w:rPr>
      <w:bCs/>
      <w:sz w:val="18"/>
    </w:rPr>
  </w:style>
  <w:style w:type="paragraph" w:styleId="7">
    <w:name w:val="heading 7"/>
    <w:basedOn w:val="a"/>
    <w:next w:val="a"/>
    <w:link w:val="70"/>
    <w:uiPriority w:val="9"/>
    <w:qFormat/>
    <w:rsid w:val="00B403C5"/>
    <w:pPr>
      <w:numPr>
        <w:ilvl w:val="6"/>
        <w:numId w:val="23"/>
      </w:numPr>
      <w:spacing w:before="240" w:after="60"/>
      <w:outlineLvl w:val="6"/>
    </w:pPr>
    <w:rPr>
      <w:sz w:val="18"/>
    </w:rPr>
  </w:style>
  <w:style w:type="paragraph" w:styleId="8">
    <w:name w:val="heading 8"/>
    <w:basedOn w:val="a"/>
    <w:next w:val="a"/>
    <w:link w:val="80"/>
    <w:uiPriority w:val="9"/>
    <w:qFormat/>
    <w:rsid w:val="00B403C5"/>
    <w:pPr>
      <w:numPr>
        <w:ilvl w:val="7"/>
        <w:numId w:val="23"/>
      </w:numPr>
      <w:spacing w:before="240" w:after="60"/>
      <w:outlineLvl w:val="7"/>
    </w:pPr>
    <w:rPr>
      <w:iCs/>
      <w:sz w:val="18"/>
    </w:rPr>
  </w:style>
  <w:style w:type="paragraph" w:styleId="9">
    <w:name w:val="heading 9"/>
    <w:basedOn w:val="a"/>
    <w:next w:val="a"/>
    <w:link w:val="90"/>
    <w:uiPriority w:val="9"/>
    <w:qFormat/>
    <w:rsid w:val="00B403C5"/>
    <w:pPr>
      <w:numPr>
        <w:ilvl w:val="8"/>
        <w:numId w:val="23"/>
      </w:numPr>
      <w:spacing w:before="240" w:after="60"/>
      <w:outlineLvl w:val="8"/>
    </w:pPr>
    <w:rPr>
      <w:sz w:val="1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403C5"/>
    <w:rPr>
      <w:rFonts w:cs="黑体" w:ascii="黑体" w:hAnsi="黑体" w:eastAsia="黑体"/>
      <w:b/>
      <w:caps/>
      <w:color w:val="FF6600"/>
      <w:spacing w:val="20"/>
      <w:szCs w:val="24"/>
      <w:lang w:eastAsia="fr-FR"/>
    </w:rPr>
  </w:style>
  <w:style w:type="character" w:customStyle="1" w:styleId="20">
    <w:name w:val="标题 2 字符"/>
    <w:basedOn w:val="a0"/>
    <w:link w:val="2"/>
    <w:uiPriority w:val="9"/>
    <w:rsid w:val="00051572"/>
    <w:rPr>
      <w:rFonts w:cs="黑体" w:ascii="黑体" w:hAnsi="黑体" w:eastAsia="黑体"/>
      <w:b/>
      <w:iCs/>
      <w:smallCaps/>
      <w:color w:val="363636"/>
      <w:spacing w:val="15"/>
      <w:kern w:val="32"/>
      <w:sz w:val="22"/>
      <w:szCs w:val="24"/>
      <w:lang w:eastAsia="fr-FR"/>
    </w:rPr>
  </w:style>
  <w:style w:type="character" w:customStyle="1" w:styleId="30">
    <w:name w:val="标题 3 字符"/>
    <w:basedOn w:val="a0"/>
    <w:link w:val="3"/>
    <w:uiPriority w:val="9"/>
    <w:rsid w:val="00051572"/>
    <w:rPr>
      <w:rFonts w:cs="黑体" w:ascii="黑体" w:hAnsi="黑体" w:eastAsia="黑体"/>
      <w:b/>
      <w:bCs/>
      <w:smallCaps/>
      <w:color w:val="FF6600"/>
      <w:szCs w:val="24"/>
      <w:lang w:eastAsia="fr-FR"/>
    </w:rPr>
  </w:style>
  <w:style w:type="character" w:customStyle="1" w:styleId="40">
    <w:name w:val="标题 4 字符"/>
    <w:basedOn w:val="a0"/>
    <w:link w:val="4"/>
    <w:uiPriority w:val="9"/>
    <w:rsid w:val="00051572"/>
    <w:rPr>
      <w:rFonts w:ascii="宋体" w:hAnsi="宋体" w:eastAsia="宋体" w:cs="宋体"/>
      <w:bCs/>
      <w:sz w:val="18"/>
      <w:szCs w:val="28"/>
      <w:lang w:bidi="en-US"/>
    </w:rPr>
  </w:style>
  <w:style w:type="character" w:customStyle="1" w:styleId="50">
    <w:name w:val="标题 5 字符"/>
    <w:basedOn w:val="a0"/>
    <w:link w:val="5"/>
    <w:uiPriority w:val="9"/>
    <w:rsid w:val="00051572"/>
    <w:rPr>
      <w:rFonts w:cs="宋体" w:ascii="宋体" w:hAnsi="宋体" w:eastAsia="宋体"/>
      <w:sz w:val="18"/>
      <w:szCs w:val="22"/>
      <w:lang w:eastAsia="fr-FR"/>
    </w:rPr>
  </w:style>
  <w:style w:type="character" w:customStyle="1" w:styleId="60">
    <w:name w:val="标题 6 字符"/>
    <w:basedOn w:val="a0"/>
    <w:link w:val="6"/>
    <w:uiPriority w:val="9"/>
    <w:rsid w:val="00051572"/>
    <w:rPr>
      <w:rFonts w:cs="宋体" w:ascii="宋体" w:hAnsi="宋体" w:eastAsia="宋体"/>
      <w:bCs/>
      <w:sz w:val="18"/>
      <w:szCs w:val="24"/>
      <w:lang w:eastAsia="fr-FR"/>
    </w:rPr>
  </w:style>
  <w:style w:type="character" w:customStyle="1" w:styleId="70">
    <w:name w:val="标题 7 字符"/>
    <w:basedOn w:val="a0"/>
    <w:link w:val="7"/>
    <w:uiPriority w:val="9"/>
    <w:rsid w:val="00051572"/>
    <w:rPr>
      <w:rFonts w:cs="宋体" w:ascii="宋体" w:hAnsi="宋体" w:eastAsia="宋体"/>
      <w:sz w:val="18"/>
      <w:szCs w:val="24"/>
      <w:lang w:eastAsia="fr-FR"/>
    </w:rPr>
  </w:style>
  <w:style w:type="character" w:customStyle="1" w:styleId="80">
    <w:name w:val="标题 8 字符"/>
    <w:basedOn w:val="a0"/>
    <w:link w:val="8"/>
    <w:uiPriority w:val="9"/>
    <w:rsid w:val="00051572"/>
    <w:rPr>
      <w:rFonts w:cs="宋体" w:ascii="宋体" w:hAnsi="宋体" w:eastAsia="宋体"/>
      <w:iCs/>
      <w:sz w:val="18"/>
      <w:szCs w:val="24"/>
      <w:lang w:eastAsia="fr-FR"/>
    </w:rPr>
  </w:style>
  <w:style w:type="character" w:customStyle="1" w:styleId="90">
    <w:name w:val="标题 9 字符"/>
    <w:basedOn w:val="a0"/>
    <w:link w:val="9"/>
    <w:uiPriority w:val="9"/>
    <w:rsid w:val="00051572"/>
    <w:rPr>
      <w:rFonts w:cs="宋体" w:ascii="宋体" w:hAnsi="宋体" w:eastAsia="宋体"/>
      <w:sz w:val="18"/>
      <w:szCs w:val="24"/>
      <w:lang w:eastAsia="fr-FR"/>
    </w:rPr>
  </w:style>
  <w:style w:type="paragraph" w:styleId="a3">
    <w:name w:val="footer"/>
    <w:basedOn w:val="a"/>
    <w:link w:val="a4"/>
    <w:uiPriority w:val="99"/>
    <w:qFormat/>
    <w:rsid w:val="00051572"/>
    <w:pPr>
      <w:tabs>
        <w:tab w:val="center" w:pos="4513"/>
        <w:tab w:val="right" w:pos="9026"/>
      </w:tabs>
    </w:pPr>
    <w:rPr>
      <w:rFonts w:cstheme="majorBidi" w:ascii="宋体" w:hAnsi="宋体" w:eastAsia="宋体" w:cs="宋体"/>
      <w:sz w:val="16"/>
      <w:szCs w:val="20"/>
      <w:lang w:eastAsia="en-US" w:bidi="en-US"/>
    </w:rPr>
  </w:style>
  <w:style w:type="character" w:customStyle="1" w:styleId="a4">
    <w:name w:val="页脚 字符"/>
    <w:basedOn w:val="a0"/>
    <w:link w:val="a3"/>
    <w:uiPriority w:val="99"/>
    <w:rsid w:val="00051572"/>
    <w:rPr>
      <w:rFonts w:ascii="宋体" w:hAnsi="宋体" w:eastAsia="宋体" w:cs="宋体"/>
      <w:sz w:val="16"/>
      <w:lang w:bidi="en-US"/>
    </w:rPr>
  </w:style>
  <w:style w:type="paragraph" w:styleId="a5">
    <w:name w:val="Title"/>
    <w:basedOn w:val="a"/>
    <w:next w:val="a"/>
    <w:link w:val="a6"/>
    <w:uiPriority w:val="10"/>
    <w:qFormat/>
    <w:rsid w:val="00051572"/>
    <w:pPr>
      <w:spacing w:before="240" w:after="60"/>
      <w:jc w:val="center"/>
      <w:outlineLvl w:val="0"/>
    </w:pPr>
    <w:rPr>
      <w:rFonts w:cstheme="majorBidi" w:ascii="黑体" w:hAnsi="黑体" w:eastAsia="黑体" w:cs="黑体"/>
      <w:b/>
      <w:bCs/>
      <w:kern w:val="28"/>
      <w:szCs w:val="32"/>
      <w:u w:val="single"/>
      <w:lang w:eastAsia="en-US" w:bidi="en-US"/>
    </w:rPr>
  </w:style>
  <w:style w:type="character" w:customStyle="1" w:styleId="a6">
    <w:name w:val="标题 字符"/>
    <w:basedOn w:val="a0"/>
    <w:link w:val="a5"/>
    <w:uiPriority w:val="10"/>
    <w:rsid w:val="00051572"/>
    <w:rPr>
      <w:rFonts w:ascii="黑体" w:hAnsi="黑体" w:eastAsia="黑体" w:cs="黑体"/>
      <w:b/>
      <w:bCs/>
      <w:kern w:val="28"/>
      <w:szCs w:val="32"/>
      <w:u w:val="single"/>
      <w:lang w:bidi="en-US"/>
    </w:rPr>
  </w:style>
  <w:style w:type="paragraph" w:styleId="a7">
    <w:name w:val="Subtitle"/>
    <w:basedOn w:val="a"/>
    <w:next w:val="a"/>
    <w:link w:val="a8"/>
    <w:uiPriority w:val="11"/>
    <w:qFormat/>
    <w:rsid w:val="00051572"/>
    <w:pPr>
      <w:spacing w:after="60"/>
      <w:jc w:val="center"/>
      <w:outlineLvl w:val="1"/>
    </w:pPr>
    <w:rPr>
      <w:rFonts w:cstheme="majorBidi" w:ascii="宋体" w:hAnsi="宋体" w:eastAsia="宋体" w:cs="宋体"/>
      <w:szCs w:val="20"/>
      <w:lang w:eastAsia="en-US" w:bidi="en-US"/>
    </w:rPr>
  </w:style>
  <w:style w:type="character" w:customStyle="1" w:styleId="a8">
    <w:name w:val="副标题 字符"/>
    <w:basedOn w:val="a0"/>
    <w:link w:val="a7"/>
    <w:uiPriority w:val="11"/>
    <w:rsid w:val="00051572"/>
    <w:rPr>
      <w:rFonts w:ascii="宋体" w:hAnsi="宋体" w:eastAsia="宋体" w:cs="宋体"/>
      <w:lang w:bidi="en-US"/>
    </w:rPr>
  </w:style>
  <w:style w:type="character" w:styleId="a9">
    <w:name w:val="Hyperlink"/>
    <w:basedOn w:val="a0"/>
    <w:uiPriority w:val="99"/>
    <w:qFormat/>
    <w:rsid w:val="00051572"/>
    <w:rPr>
      <w:rFonts w:ascii="宋体" w:hAnsi="宋体" w:eastAsia="宋体" w:cs="宋体"/>
      <w:color w:val="FF6600"/>
      <w:sz w:val="20"/>
      <w:u w:val="single"/>
    </w:rPr>
  </w:style>
  <w:style w:type="character" w:styleId="aa">
    <w:name w:val="FollowedHyperlink"/>
    <w:basedOn w:val="a0"/>
    <w:uiPriority w:val="99"/>
    <w:qFormat/>
    <w:rsid w:val="00051572"/>
    <w:rPr>
      <w:rFonts w:ascii="宋体" w:hAnsi="宋体" w:eastAsia="宋体" w:cs="宋体"/>
      <w:i/>
      <w:color w:val="363636"/>
      <w:sz w:val="20"/>
      <w:u w:val="single"/>
    </w:rPr>
  </w:style>
  <w:style w:type="character" w:styleId="ab">
    <w:name w:val="Strong"/>
    <w:basedOn w:val="a0"/>
    <w:uiPriority w:val="22"/>
    <w:qFormat/>
    <w:rsid w:val="00051572"/>
    <w:rPr>
      <w:b/>
      <w:bCs/>
    </w:rPr>
  </w:style>
  <w:style w:type="character" w:styleId="ac">
    <w:name w:val="Emphasis"/>
    <w:basedOn w:val="a0"/>
    <w:uiPriority w:val="20"/>
    <w:qFormat/>
    <w:rsid w:val="00051572"/>
    <w:rPr>
      <w:rFonts w:ascii="黑体" w:hAnsi="黑体" w:eastAsia="黑体" w:cs="黑体"/>
      <w:b/>
      <w:i/>
      <w:iCs/>
    </w:rPr>
  </w:style>
  <w:style w:type="paragraph" w:styleId="ad">
    <w:name w:val="No Spacing"/>
    <w:basedOn w:val="a"/>
    <w:link w:val="ae"/>
    <w:uiPriority w:val="1"/>
    <w:qFormat/>
    <w:rsid w:val="00051572"/>
    <w:rPr>
      <w:rFonts w:cstheme="majorBidi" w:ascii="宋体" w:hAnsi="宋体" w:eastAsia="宋体" w:cs="宋体"/>
      <w:szCs w:val="32"/>
      <w:lang w:eastAsia="en-US" w:bidi="en-US"/>
    </w:rPr>
  </w:style>
  <w:style w:type="character" w:customStyle="1" w:styleId="ae">
    <w:name w:val="无间隔 字符"/>
    <w:basedOn w:val="a0"/>
    <w:link w:val="ad"/>
    <w:uiPriority w:val="1"/>
    <w:rsid w:val="00051572"/>
    <w:rPr>
      <w:rFonts w:ascii="宋体" w:hAnsi="宋体" w:eastAsia="宋体" w:cs="宋体"/>
      <w:szCs w:val="32"/>
      <w:lang w:bidi="en-US"/>
    </w:rPr>
  </w:style>
  <w:style w:type="paragraph" w:styleId="af">
    <w:name w:val="List Paragraph"/>
    <w:basedOn w:val="a"/>
    <w:uiPriority w:val="34"/>
    <w:qFormat/>
    <w:rsid w:val="00051572"/>
    <w:pPr>
      <w:ind w:left="720"/>
      <w:contextualSpacing/>
    </w:pPr>
  </w:style>
  <w:style w:type="paragraph" w:styleId="af0">
    <w:name w:val="Quote"/>
    <w:basedOn w:val="a"/>
    <w:next w:val="a"/>
    <w:link w:val="af1"/>
    <w:uiPriority w:val="29"/>
    <w:qFormat/>
    <w:rsid w:val="00051572"/>
    <w:rPr>
      <w:rFonts w:cstheme="majorBidi" w:ascii="宋体" w:hAnsi="宋体" w:eastAsia="宋体" w:cs="宋体"/>
      <w:i/>
      <w:szCs w:val="20"/>
      <w:lang w:eastAsia="en-US" w:bidi="en-US"/>
    </w:rPr>
  </w:style>
  <w:style w:type="character" w:customStyle="1" w:styleId="af1">
    <w:name w:val="引用 字符"/>
    <w:basedOn w:val="a0"/>
    <w:link w:val="af0"/>
    <w:uiPriority w:val="29"/>
    <w:rsid w:val="00051572"/>
    <w:rPr>
      <w:rFonts w:ascii="宋体" w:hAnsi="宋体" w:eastAsia="宋体" w:cs="宋体"/>
      <w:i/>
      <w:lang w:bidi="en-US"/>
    </w:rPr>
  </w:style>
  <w:style w:type="paragraph" w:styleId="af2">
    <w:name w:val="Intense Quote"/>
    <w:basedOn w:val="a"/>
    <w:next w:val="a"/>
    <w:link w:val="af3"/>
    <w:uiPriority w:val="30"/>
    <w:qFormat/>
    <w:rsid w:val="00051572"/>
    <w:pPr>
      <w:ind w:left="720" w:right="720"/>
    </w:pPr>
    <w:rPr>
      <w:rFonts w:cstheme="majorBidi" w:ascii="黑体" w:hAnsi="黑体" w:eastAsia="黑体" w:cs="黑体"/>
      <w:b/>
      <w:i/>
      <w:szCs w:val="20"/>
      <w:lang w:eastAsia="en-US" w:bidi="en-US"/>
    </w:rPr>
  </w:style>
  <w:style w:type="character" w:customStyle="1" w:styleId="af3">
    <w:name w:val="明显引用 字符"/>
    <w:basedOn w:val="a0"/>
    <w:link w:val="af2"/>
    <w:uiPriority w:val="30"/>
    <w:rsid w:val="00051572"/>
    <w:rPr>
      <w:rFonts w:ascii="黑体" w:hAnsi="黑体" w:eastAsia="黑体" w:cs="黑体"/>
      <w:b/>
      <w:i/>
      <w:lang w:bidi="en-US"/>
    </w:rPr>
  </w:style>
  <w:style w:type="character" w:styleId="af4">
    <w:name w:val="Subtle Emphasis"/>
    <w:uiPriority w:val="19"/>
    <w:qFormat/>
    <w:rsid w:val="00051572"/>
    <w:rPr>
      <w:i/>
      <w:color w:val="5A5A5A" w:themeColor="text1" w:themeTint="A5"/>
    </w:rPr>
  </w:style>
  <w:style w:type="character" w:styleId="af5">
    <w:name w:val="Intense Emphasis"/>
    <w:basedOn w:val="a0"/>
    <w:uiPriority w:val="21"/>
    <w:qFormat/>
    <w:rsid w:val="00051572"/>
    <w:rPr>
      <w:b/>
      <w:i/>
      <w:sz w:val="24"/>
      <w:szCs w:val="24"/>
      <w:u w:val="single"/>
    </w:rPr>
  </w:style>
  <w:style w:type="character" w:styleId="af6">
    <w:name w:val="Subtle Reference"/>
    <w:basedOn w:val="a0"/>
    <w:uiPriority w:val="31"/>
    <w:qFormat/>
    <w:rsid w:val="00051572"/>
    <w:rPr>
      <w:sz w:val="24"/>
      <w:szCs w:val="24"/>
      <w:u w:val="single"/>
    </w:rPr>
  </w:style>
  <w:style w:type="character" w:styleId="af7">
    <w:name w:val="Intense Reference"/>
    <w:basedOn w:val="a0"/>
    <w:uiPriority w:val="32"/>
    <w:qFormat/>
    <w:rsid w:val="00051572"/>
    <w:rPr>
      <w:b/>
      <w:sz w:val="24"/>
      <w:u w:val="single"/>
    </w:rPr>
  </w:style>
  <w:style w:type="character" w:styleId="af8">
    <w:name w:val="Book Title"/>
    <w:basedOn w:val="a0"/>
    <w:uiPriority w:val="33"/>
    <w:qFormat/>
    <w:rsid w:val="00051572"/>
    <w:rPr>
      <w:rFonts w:ascii="黑体" w:hAnsi="黑体" w:eastAsia="黑体" w:cs="黑体"/>
      <w:b/>
      <w:i/>
      <w:sz w:val="24"/>
      <w:szCs w:val="24"/>
    </w:rPr>
  </w:style>
  <w:style w:type="paragraph" w:styleId="TOC">
    <w:name w:val="TOC Heading"/>
    <w:basedOn w:val="1"/>
    <w:next w:val="a"/>
    <w:uiPriority w:val="39"/>
    <w:qFormat/>
    <w:rsid w:val="00051572"/>
    <w:pPr>
      <w:numPr>
        <w:numId w:val="0"/>
      </w:numPr>
      <w:outlineLvl w:val="9"/>
    </w:pPr>
  </w:style>
  <w:style w:type="paragraph" w:customStyle="1" w:styleId="List1">
    <w:name w:val="List 1"/>
    <w:basedOn w:val="a"/>
    <w:link w:val="List1Char"/>
    <w:uiPriority w:val="99"/>
    <w:qFormat/>
    <w:rsid w:val="00051572"/>
    <w:pPr>
      <w:numPr>
        <w:numId w:val="18"/>
      </w:numPr>
      <w:spacing w:before="60"/>
    </w:pPr>
    <w:rPr>
      <w:rFonts w:cstheme="majorBidi" w:ascii="宋体" w:hAnsi="宋体" w:eastAsia="宋体" w:cs="宋体"/>
      <w:szCs w:val="20"/>
      <w:lang w:eastAsia="en-US" w:bidi="en-US"/>
    </w:rPr>
  </w:style>
  <w:style w:type="character" w:customStyle="1" w:styleId="List1Char">
    <w:name w:val="List 1 Char"/>
    <w:basedOn w:val="a0"/>
    <w:link w:val="List1"/>
    <w:uiPriority w:val="99"/>
    <w:rsid w:val="00051572"/>
    <w:rPr>
      <w:rFonts w:ascii="宋体" w:hAnsi="宋体" w:eastAsia="宋体" w:cs="宋体"/>
      <w:lang w:bidi="en-US"/>
    </w:rPr>
  </w:style>
  <w:style w:type="paragraph" w:customStyle="1" w:styleId="Highlight">
    <w:name w:val="Highlight"/>
    <w:basedOn w:val="a"/>
    <w:uiPriority w:val="99"/>
    <w:qFormat/>
    <w:rsid w:val="00051572"/>
    <w:rPr>
      <w:color w:val="BF0000" w:themeColor="accent6" w:themeShade="BF"/>
    </w:rPr>
  </w:style>
  <w:style w:type="paragraph" w:customStyle="1" w:styleId="Numbered1">
    <w:name w:val="Numbered 1"/>
    <w:basedOn w:val="a"/>
    <w:rsid w:val="00051572"/>
    <w:pPr>
      <w:numPr>
        <w:numId w:val="19"/>
      </w:numPr>
      <w:spacing w:before="60"/>
    </w:pPr>
  </w:style>
  <w:style w:type="paragraph" w:customStyle="1" w:styleId="List2">
    <w:name w:val="List2"/>
    <w:basedOn w:val="List1"/>
    <w:uiPriority w:val="99"/>
    <w:qFormat/>
    <w:rsid w:val="00051572"/>
    <w:pPr>
      <w:numPr>
        <w:numId w:val="0"/>
      </w:numPr>
      <w:spacing w:before="0"/>
    </w:pPr>
    <w:rPr>
      <w:szCs w:val="24"/>
      <w:lang w:val="fr-FR" w:eastAsia="fr-FR" w:bidi="ar-SA"/>
    </w:rPr>
  </w:style>
  <w:style w:type="paragraph" w:customStyle="1" w:styleId="StyleHeading5Firstline0cm">
    <w:name w:val="Style Heading 5 + First line:  0 cm"/>
    <w:basedOn w:val="5"/>
    <w:qFormat/>
    <w:rsid w:val="00051572"/>
    <w:pPr>
      <w:numPr>
        <w:ilvl w:val="0"/>
        <w:numId w:val="0"/>
      </w:numPr>
    </w:pPr>
    <w:rPr>
      <w:color w:val="363636"/>
      <w:szCs w:val="24"/>
      <w:u w:val="single"/>
    </w:rPr>
  </w:style>
  <w:style w:type="paragraph" w:customStyle="1" w:styleId="Glossary">
    <w:name w:val="Glossary"/>
    <w:basedOn w:val="a"/>
    <w:link w:val="GlossaryChar"/>
    <w:uiPriority w:val="99"/>
    <w:qFormat/>
    <w:rsid w:val="00051572"/>
    <w:pPr>
      <w:spacing w:before="40"/>
    </w:pPr>
    <w:rPr>
      <w:rFonts w:cstheme="majorBidi" w:ascii="宋体" w:hAnsi="宋体" w:eastAsia="宋体" w:cs="宋体"/>
      <w:sz w:val="16"/>
      <w:szCs w:val="16"/>
      <w:lang w:eastAsia="en-GB"/>
    </w:rPr>
  </w:style>
  <w:style w:type="character" w:customStyle="1" w:styleId="GlossaryChar">
    <w:name w:val="Glossary Char"/>
    <w:basedOn w:val="a0"/>
    <w:link w:val="Glossary"/>
    <w:uiPriority w:val="99"/>
    <w:rsid w:val="00051572"/>
    <w:rPr>
      <w:sz w:val="16"/>
      <w:szCs w:val="16"/>
      <w:lang w:eastAsia="en-GB"/>
    </w:rPr>
  </w:style>
  <w:style w:type="numbering" w:customStyle="1" w:styleId="Style1">
    <w:name w:val="Style1"/>
    <w:uiPriority w:val="99"/>
    <w:rsid w:val="00051572"/>
    <w:pPr>
      <w:numPr>
        <w:numId w:val="4"/>
      </w:numPr>
    </w:pPr>
  </w:style>
  <w:style w:type="paragraph" w:styleId="af9">
    <w:name w:val="header"/>
    <w:basedOn w:val="a"/>
    <w:link w:val="afa"/>
    <w:autoRedefine/>
    <w:uiPriority w:val="99"/>
    <w:rsid w:val="00051572"/>
    <w:pPr>
      <w:tabs>
        <w:tab w:val="center" w:pos="4536"/>
        <w:tab w:val="right" w:pos="9072"/>
      </w:tabs>
    </w:pPr>
  </w:style>
  <w:style w:type="character" w:customStyle="1" w:styleId="afa">
    <w:name w:val="页眉 字符"/>
    <w:basedOn w:val="a0"/>
    <w:link w:val="af9"/>
    <w:uiPriority w:val="99"/>
    <w:rsid w:val="00051572"/>
    <w:rPr>
      <w:rFonts w:cs="宋体" w:ascii="宋体" w:hAnsi="宋体" w:eastAsia="宋体"/>
      <w:szCs w:val="24"/>
      <w:lang w:eastAsia="fr-FR"/>
    </w:rPr>
  </w:style>
  <w:style w:type="table" w:styleId="afb">
    <w:name w:val="Table Grid"/>
    <w:aliases w:val="SGS Table Basic 1"/>
    <w:basedOn w:val="a1"/>
    <w:rsid w:val="00051572"/>
    <w:pPr>
      <w:spacing w:before="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pPr>
        <w:jc w:val="left"/>
      </w:pPr>
      <w:rPr>
        <w:color w:val="FF6600"/>
      </w:rPr>
      <w:tblPr/>
      <w:tcPr>
        <w:tcBorders>
          <w:bottom w:val="single" w:sz="12" w:space="0" w:color="363636"/>
        </w:tcBorders>
      </w:tcPr>
    </w:tblStylePr>
  </w:style>
  <w:style w:type="table" w:customStyle="1" w:styleId="SGSTableBasic2">
    <w:name w:val="SGS Table Basic 2"/>
    <w:basedOn w:val="a1"/>
    <w:uiPriority w:val="99"/>
    <w:qFormat/>
    <w:rsid w:val="00051572"/>
    <w:pPr>
      <w:spacing w:before="0"/>
    </w:pPr>
    <w:tblPr/>
    <w:tcPr>
      <w:shd w:val="clear" w:color="auto" w:fill="BCBCBC"/>
    </w:tcPr>
    <w:tblStylePr w:type="firstRow">
      <w:pPr>
        <w:jc w:val="left"/>
      </w:pPr>
      <w:tblPr/>
      <w:tcPr>
        <w:shd w:val="clear" w:color="auto" w:fill="363636"/>
        <w:vAlign w:val="center"/>
      </w:tcPr>
    </w:tblStylePr>
  </w:style>
  <w:style w:type="numbering" w:customStyle="1" w:styleId="SGS">
    <w:name w:val="SGS"/>
    <w:uiPriority w:val="99"/>
    <w:rsid w:val="00051572"/>
    <w:pPr>
      <w:numPr>
        <w:numId w:val="5"/>
      </w:numPr>
    </w:pPr>
  </w:style>
  <w:style w:type="paragraph" w:styleId="TOC1">
    <w:name w:val="toc 1"/>
    <w:basedOn w:val="a"/>
    <w:next w:val="a"/>
    <w:autoRedefine/>
    <w:uiPriority w:val="39"/>
    <w:rsid w:val="00051572"/>
    <w:pPr>
      <w:keepNext/>
      <w:keepLines/>
      <w:pBdr>
        <w:left w:val="single" w:sz="48" w:space="4" w:color="FF6600"/>
      </w:pBdr>
      <w:shd w:val="clear" w:color="auto" w:fill="363636"/>
      <w:tabs>
        <w:tab w:val="left" w:pos="426"/>
        <w:tab w:val="right" w:leader="dot" w:pos="9072"/>
      </w:tabs>
    </w:pPr>
    <w:rPr>
      <w:rFonts w:cstheme="majorBidi" w:ascii="黑体" w:hAnsi="黑体" w:eastAsia="黑体" w:cs="黑体"/>
      <w:b/>
      <w:caps/>
      <w:noProof/>
      <w:color w:val="FFFFFF" w:themeColor="background1"/>
      <w:sz w:val="18"/>
      <w:szCs w:val="20"/>
      <w:lang w:eastAsia="en-US" w:bidi="en-US"/>
    </w:rPr>
  </w:style>
  <w:style w:type="paragraph" w:styleId="TOC2">
    <w:name w:val="toc 2"/>
    <w:basedOn w:val="a"/>
    <w:next w:val="a"/>
    <w:autoRedefine/>
    <w:uiPriority w:val="39"/>
    <w:rsid w:val="00051572"/>
    <w:pPr>
      <w:keepNext/>
      <w:keepLines/>
      <w:tabs>
        <w:tab w:val="left" w:pos="880"/>
        <w:tab w:val="right" w:leader="dot" w:pos="9072"/>
      </w:tabs>
    </w:pPr>
    <w:rPr>
      <w:rFonts w:cstheme="majorBidi" w:ascii="宋体" w:hAnsi="宋体" w:eastAsia="宋体" w:cs="宋体"/>
      <w:smallCaps/>
      <w:noProof/>
      <w:sz w:val="18"/>
      <w:szCs w:val="18"/>
      <w:lang w:eastAsia="en-US" w:bidi="en-US"/>
    </w:rPr>
  </w:style>
  <w:style w:type="paragraph" w:styleId="TOC3">
    <w:name w:val="toc 3"/>
    <w:basedOn w:val="a"/>
    <w:next w:val="a"/>
    <w:autoRedefine/>
    <w:uiPriority w:val="39"/>
    <w:rsid w:val="00051572"/>
    <w:pPr>
      <w:keepNext/>
      <w:keepLines/>
      <w:tabs>
        <w:tab w:val="left" w:pos="1418"/>
        <w:tab w:val="right" w:leader="dot" w:pos="9072"/>
      </w:tabs>
      <w:ind w:left="1418" w:hanging="567"/>
    </w:pPr>
    <w:rPr>
      <w:rFonts w:cstheme="majorBidi" w:ascii="宋体" w:hAnsi="宋体" w:eastAsia="宋体" w:cs="宋体"/>
      <w:noProof/>
      <w:sz w:val="18"/>
      <w:szCs w:val="22"/>
      <w:lang w:eastAsia="en-US" w:bidi="en-US"/>
    </w:rPr>
  </w:style>
  <w:style w:type="paragraph" w:styleId="afc">
    <w:name w:val="Balloon Text"/>
    <w:basedOn w:val="a"/>
    <w:link w:val="afd"/>
    <w:semiHidden/>
    <w:rsid w:val="00051572"/>
    <w:pPr>
      <w:spacing w:before="0"/>
    </w:pPr>
    <w:rPr>
      <w:rFonts w:cs="宋体" w:ascii="宋体" w:hAnsi="宋体" w:eastAsia="宋体"/>
      <w:sz w:val="16"/>
      <w:szCs w:val="16"/>
    </w:rPr>
  </w:style>
  <w:style w:type="character" w:customStyle="1" w:styleId="afd">
    <w:name w:val="批注框文本 字符"/>
    <w:basedOn w:val="a0"/>
    <w:link w:val="afc"/>
    <w:semiHidden/>
    <w:rsid w:val="00051572"/>
    <w:rPr>
      <w:rFonts w:cs="宋体" w:ascii="宋体" w:hAnsi="宋体" w:eastAsia="宋体"/>
      <w:sz w:val="16"/>
      <w:szCs w:val="16"/>
      <w:lang w:val="fr-FR" w:eastAsia="fr-FR"/>
    </w:rPr>
  </w:style>
  <w:style w:type="table" w:styleId="21">
    <w:name w:val="Table Classic 2"/>
    <w:basedOn w:val="a1"/>
    <w:rsid w:val="00C72CF6"/>
    <w:pPr>
      <w:ind w:left="0" w:firstLine="0"/>
    </w:pPr>
    <w:tblPr>
      <w:tblBorders>
        <w:top w:val="single" w:sz="12" w:space="0" w:color="000000"/>
        <w:bottom w:val="single" w:sz="12" w:space="0" w:color="000000"/>
      </w:tblBorders>
    </w:tblPr>
    <w:tcPr>
      <w:shd w:val="clear" w:color="auto" w:fill="auto"/>
    </w:tcPr>
    <w:tblStylePr w:type="firstRow">
      <w:rPr>
        <w:color w:val="FFFFFF"/>
      </w:rPr>
      <w:tblPr/>
      <w:tcPr>
        <w:shd w:val="clear" w:color="auto" w:fill="FF6600"/>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shd w:val="clear" w:color="auto" w:fill="363636"/>
      </w:tcPr>
    </w:tblStylePr>
    <w:tblStylePr w:type="swCell">
      <w:rPr>
        <w:color w:val="auto"/>
      </w:rPr>
      <w:tblPr/>
      <w:tcPr>
        <w:tcBorders>
          <w:tl2br w:val="none" w:sz="0" w:space="0" w:color="auto"/>
          <w:tr2bl w:val="none" w:sz="0" w:space="0" w:color="auto"/>
        </w:tcBorders>
      </w:tcPr>
    </w:tblStylePr>
  </w:style>
  <w:style w:type="table" w:styleId="11">
    <w:name w:val="Table Colorful 1"/>
    <w:basedOn w:val="a1"/>
    <w:rsid w:val="00B40C4D"/>
    <w:pPr>
      <w:ind w:left="0" w:firstLine="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clear" w:color="auto" w:fill="BCBCBC"/>
    </w:tcPr>
    <w:tblStylePr w:type="firstRow">
      <w:rPr>
        <w:b/>
        <w:bCs/>
        <w:i/>
        <w:iCs/>
      </w:rPr>
      <w:tblPr/>
      <w:tcPr>
        <w:shd w:val="clear" w:color="auto" w:fill="363636"/>
      </w:tcPr>
    </w:tblStylePr>
    <w:tblStylePr w:type="firstCol">
      <w:rPr>
        <w:b/>
        <w:bCs/>
        <w:i/>
        <w:iCs/>
      </w:rPr>
      <w:tblPr/>
      <w:tcPr>
        <w:shd w:val="clear" w:color="auto" w:fill="FF6600"/>
      </w:tcPr>
    </w:tblStylePr>
    <w:tblStylePr w:type="nwCell">
      <w:tblPr/>
      <w:tcPr>
        <w:shd w:val="clear" w:color="auto" w:fill="363636"/>
      </w:tcPr>
    </w:tblStylePr>
    <w:tblStylePr w:type="swCell">
      <w:rPr>
        <w:b/>
        <w:bCs/>
        <w:i w:val="0"/>
        <w:iCs w:val="0"/>
      </w:rPr>
    </w:tblStylePr>
  </w:style>
  <w:style w:type="table" w:styleId="81">
    <w:name w:val="Table List 8"/>
    <w:basedOn w:val="a1"/>
    <w:rsid w:val="00B40C4D"/>
    <w:pPr>
      <w:ind w:left="0" w:firstLine="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shd w:val="clear" w:color="auto" w:fill="BCBCBC"/>
    </w:tcPr>
    <w:tblStylePr w:type="firstRow">
      <w:rPr>
        <w:b/>
        <w:bCs/>
        <w:i/>
        <w:iCs/>
      </w:rPr>
      <w:tblPr/>
      <w:tcPr>
        <w:shd w:val="clear" w:color="auto" w:fill="FF6600"/>
      </w:tcPr>
    </w:tblStylePr>
    <w:tblStylePr w:type="lastRow">
      <w:rPr>
        <w:b/>
        <w:bCs/>
      </w:rPr>
      <w:tblPr/>
      <w:tcPr>
        <w:shd w:val="clear" w:color="auto" w:fill="FF6600"/>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shd w:val="clear" w:color="auto" w:fill="BCBCBC"/>
      </w:tcPr>
    </w:tblStylePr>
    <w:tblStylePr w:type="band2Horz">
      <w:tblPr/>
      <w:tcPr>
        <w:shd w:val="clear" w:color="auto" w:fill="363636"/>
      </w:tcPr>
    </w:tblStylePr>
  </w:style>
  <w:style w:type="table" w:styleId="31">
    <w:name w:val="Table Classic 3"/>
    <w:basedOn w:val="a1"/>
    <w:rsid w:val="00B40C4D"/>
    <w:pPr>
      <w:ind w:left="0" w:firstLine="0"/>
    </w:pPr>
    <w:tblPr>
      <w:tblBorders>
        <w:top w:val="single" w:sz="12" w:space="0" w:color="000000"/>
        <w:left w:val="single" w:sz="12" w:space="0" w:color="000000"/>
        <w:bottom w:val="single" w:sz="12" w:space="0" w:color="000000"/>
        <w:right w:val="single" w:sz="12" w:space="0" w:color="000000"/>
      </w:tblBorders>
    </w:tblPr>
    <w:tcPr>
      <w:shd w:val="clear" w:color="auto" w:fill="BCBCBC"/>
    </w:tcPr>
    <w:tblStylePr w:type="firstRow">
      <w:rPr>
        <w:b/>
        <w:bCs/>
        <w:i/>
        <w:iCs/>
        <w:color w:val="FFFFFF"/>
      </w:rPr>
      <w:tblPr/>
      <w:tcPr>
        <w:shd w:val="clear" w:color="auto" w:fill="363636"/>
      </w:tcPr>
    </w:tblStylePr>
    <w:tblStylePr w:type="lastRow">
      <w:rPr>
        <w:color w:val="FF660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afe">
    <w:name w:val="Unresolved Mention"/>
    <w:basedOn w:val="a0"/>
    <w:uiPriority w:val="99"/>
    <w:semiHidden/>
    <w:unhideWhenUsed/>
    <w:rsid w:val="00A13E9F"/>
    <w:rPr>
      <w:color w:val="605E5C"/>
      <w:shd w:val="clear" w:color="auto" w:fill="E1DFDD"/>
    </w:rPr>
  </w:style>
  <w:style w:type="paragraph" w:styleId="aff">
    <w:name w:val="Normal (Web)"/>
    <w:basedOn w:val="a"/>
    <w:uiPriority w:val="99"/>
    <w:unhideWhenUsed/>
    <w:rsid w:val="007047B5"/>
    <w:pPr>
      <w:spacing w:before="100" w:beforeAutospacing="1" w:after="100" w:afterAutospacing="1"/>
    </w:pPr>
    <w:rPr>
      <w:rFonts w:ascii="宋体" w:eastAsia="宋体" w:hAnsi="宋体" w:cs="宋体"/>
      <w:sz w:val="24"/>
      <w:lang w:val="en-US" w:eastAsia="zh-CN"/>
    </w:rPr>
  </w:style>
  <w:style w:type="character" w:customStyle="1" w:styleId="qnt-strong">
    <w:name w:val="qnt-strong"/>
    <w:basedOn w:val="a0"/>
    <w:rsid w:val="00692D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301">
      <w:bodyDiv w:val="1"/>
      <w:marLeft w:val="0"/>
      <w:marRight w:val="0"/>
      <w:marTop w:val="0"/>
      <w:marBottom w:val="0"/>
      <w:divBdr>
        <w:top w:val="none" w:sz="0" w:space="0" w:color="auto"/>
        <w:left w:val="none" w:sz="0" w:space="0" w:color="auto"/>
        <w:bottom w:val="none" w:sz="0" w:space="0" w:color="auto"/>
        <w:right w:val="none" w:sz="0" w:space="0" w:color="auto"/>
      </w:divBdr>
    </w:div>
    <w:div w:id="39481016">
      <w:bodyDiv w:val="1"/>
      <w:marLeft w:val="0"/>
      <w:marRight w:val="0"/>
      <w:marTop w:val="0"/>
      <w:marBottom w:val="0"/>
      <w:divBdr>
        <w:top w:val="none" w:sz="0" w:space="0" w:color="auto"/>
        <w:left w:val="none" w:sz="0" w:space="0" w:color="auto"/>
        <w:bottom w:val="none" w:sz="0" w:space="0" w:color="auto"/>
        <w:right w:val="none" w:sz="0" w:space="0" w:color="auto"/>
      </w:divBdr>
    </w:div>
    <w:div w:id="43799558">
      <w:bodyDiv w:val="1"/>
      <w:marLeft w:val="0"/>
      <w:marRight w:val="0"/>
      <w:marTop w:val="0"/>
      <w:marBottom w:val="0"/>
      <w:divBdr>
        <w:top w:val="none" w:sz="0" w:space="0" w:color="auto"/>
        <w:left w:val="none" w:sz="0" w:space="0" w:color="auto"/>
        <w:bottom w:val="none" w:sz="0" w:space="0" w:color="auto"/>
        <w:right w:val="none" w:sz="0" w:space="0" w:color="auto"/>
      </w:divBdr>
    </w:div>
    <w:div w:id="44986536">
      <w:bodyDiv w:val="1"/>
      <w:marLeft w:val="0"/>
      <w:marRight w:val="0"/>
      <w:marTop w:val="0"/>
      <w:marBottom w:val="0"/>
      <w:divBdr>
        <w:top w:val="none" w:sz="0" w:space="0" w:color="auto"/>
        <w:left w:val="none" w:sz="0" w:space="0" w:color="auto"/>
        <w:bottom w:val="none" w:sz="0" w:space="0" w:color="auto"/>
        <w:right w:val="none" w:sz="0" w:space="0" w:color="auto"/>
      </w:divBdr>
    </w:div>
    <w:div w:id="73204139">
      <w:bodyDiv w:val="1"/>
      <w:marLeft w:val="0"/>
      <w:marRight w:val="0"/>
      <w:marTop w:val="0"/>
      <w:marBottom w:val="0"/>
      <w:divBdr>
        <w:top w:val="none" w:sz="0" w:space="0" w:color="auto"/>
        <w:left w:val="none" w:sz="0" w:space="0" w:color="auto"/>
        <w:bottom w:val="none" w:sz="0" w:space="0" w:color="auto"/>
        <w:right w:val="none" w:sz="0" w:space="0" w:color="auto"/>
      </w:divBdr>
    </w:div>
    <w:div w:id="96756491">
      <w:bodyDiv w:val="1"/>
      <w:marLeft w:val="0"/>
      <w:marRight w:val="0"/>
      <w:marTop w:val="0"/>
      <w:marBottom w:val="0"/>
      <w:divBdr>
        <w:top w:val="none" w:sz="0" w:space="0" w:color="auto"/>
        <w:left w:val="none" w:sz="0" w:space="0" w:color="auto"/>
        <w:bottom w:val="none" w:sz="0" w:space="0" w:color="auto"/>
        <w:right w:val="none" w:sz="0" w:space="0" w:color="auto"/>
      </w:divBdr>
    </w:div>
    <w:div w:id="161972078">
      <w:bodyDiv w:val="1"/>
      <w:marLeft w:val="0"/>
      <w:marRight w:val="0"/>
      <w:marTop w:val="0"/>
      <w:marBottom w:val="0"/>
      <w:divBdr>
        <w:top w:val="none" w:sz="0" w:space="0" w:color="auto"/>
        <w:left w:val="none" w:sz="0" w:space="0" w:color="auto"/>
        <w:bottom w:val="none" w:sz="0" w:space="0" w:color="auto"/>
        <w:right w:val="none" w:sz="0" w:space="0" w:color="auto"/>
      </w:divBdr>
    </w:div>
    <w:div w:id="209616061">
      <w:bodyDiv w:val="1"/>
      <w:marLeft w:val="0"/>
      <w:marRight w:val="0"/>
      <w:marTop w:val="0"/>
      <w:marBottom w:val="0"/>
      <w:divBdr>
        <w:top w:val="none" w:sz="0" w:space="0" w:color="auto"/>
        <w:left w:val="none" w:sz="0" w:space="0" w:color="auto"/>
        <w:bottom w:val="none" w:sz="0" w:space="0" w:color="auto"/>
        <w:right w:val="none" w:sz="0" w:space="0" w:color="auto"/>
      </w:divBdr>
    </w:div>
    <w:div w:id="215708287">
      <w:bodyDiv w:val="1"/>
      <w:marLeft w:val="0"/>
      <w:marRight w:val="0"/>
      <w:marTop w:val="0"/>
      <w:marBottom w:val="0"/>
      <w:divBdr>
        <w:top w:val="none" w:sz="0" w:space="0" w:color="auto"/>
        <w:left w:val="none" w:sz="0" w:space="0" w:color="auto"/>
        <w:bottom w:val="none" w:sz="0" w:space="0" w:color="auto"/>
        <w:right w:val="none" w:sz="0" w:space="0" w:color="auto"/>
      </w:divBdr>
    </w:div>
    <w:div w:id="232278913">
      <w:bodyDiv w:val="1"/>
      <w:marLeft w:val="0"/>
      <w:marRight w:val="0"/>
      <w:marTop w:val="0"/>
      <w:marBottom w:val="0"/>
      <w:divBdr>
        <w:top w:val="none" w:sz="0" w:space="0" w:color="auto"/>
        <w:left w:val="none" w:sz="0" w:space="0" w:color="auto"/>
        <w:bottom w:val="none" w:sz="0" w:space="0" w:color="auto"/>
        <w:right w:val="none" w:sz="0" w:space="0" w:color="auto"/>
      </w:divBdr>
    </w:div>
    <w:div w:id="337462907">
      <w:bodyDiv w:val="1"/>
      <w:marLeft w:val="0"/>
      <w:marRight w:val="0"/>
      <w:marTop w:val="0"/>
      <w:marBottom w:val="0"/>
      <w:divBdr>
        <w:top w:val="none" w:sz="0" w:space="0" w:color="auto"/>
        <w:left w:val="none" w:sz="0" w:space="0" w:color="auto"/>
        <w:bottom w:val="none" w:sz="0" w:space="0" w:color="auto"/>
        <w:right w:val="none" w:sz="0" w:space="0" w:color="auto"/>
      </w:divBdr>
    </w:div>
    <w:div w:id="346441532">
      <w:bodyDiv w:val="1"/>
      <w:marLeft w:val="0"/>
      <w:marRight w:val="0"/>
      <w:marTop w:val="0"/>
      <w:marBottom w:val="0"/>
      <w:divBdr>
        <w:top w:val="none" w:sz="0" w:space="0" w:color="auto"/>
        <w:left w:val="none" w:sz="0" w:space="0" w:color="auto"/>
        <w:bottom w:val="none" w:sz="0" w:space="0" w:color="auto"/>
        <w:right w:val="none" w:sz="0" w:space="0" w:color="auto"/>
      </w:divBdr>
    </w:div>
    <w:div w:id="367687288">
      <w:bodyDiv w:val="1"/>
      <w:marLeft w:val="0"/>
      <w:marRight w:val="0"/>
      <w:marTop w:val="0"/>
      <w:marBottom w:val="0"/>
      <w:divBdr>
        <w:top w:val="none" w:sz="0" w:space="0" w:color="auto"/>
        <w:left w:val="none" w:sz="0" w:space="0" w:color="auto"/>
        <w:bottom w:val="none" w:sz="0" w:space="0" w:color="auto"/>
        <w:right w:val="none" w:sz="0" w:space="0" w:color="auto"/>
      </w:divBdr>
    </w:div>
    <w:div w:id="371659602">
      <w:bodyDiv w:val="1"/>
      <w:marLeft w:val="0"/>
      <w:marRight w:val="0"/>
      <w:marTop w:val="0"/>
      <w:marBottom w:val="0"/>
      <w:divBdr>
        <w:top w:val="none" w:sz="0" w:space="0" w:color="auto"/>
        <w:left w:val="none" w:sz="0" w:space="0" w:color="auto"/>
        <w:bottom w:val="none" w:sz="0" w:space="0" w:color="auto"/>
        <w:right w:val="none" w:sz="0" w:space="0" w:color="auto"/>
      </w:divBdr>
    </w:div>
    <w:div w:id="399404533">
      <w:bodyDiv w:val="1"/>
      <w:marLeft w:val="0"/>
      <w:marRight w:val="0"/>
      <w:marTop w:val="0"/>
      <w:marBottom w:val="0"/>
      <w:divBdr>
        <w:top w:val="none" w:sz="0" w:space="0" w:color="auto"/>
        <w:left w:val="none" w:sz="0" w:space="0" w:color="auto"/>
        <w:bottom w:val="none" w:sz="0" w:space="0" w:color="auto"/>
        <w:right w:val="none" w:sz="0" w:space="0" w:color="auto"/>
      </w:divBdr>
    </w:div>
    <w:div w:id="427893762">
      <w:bodyDiv w:val="1"/>
      <w:marLeft w:val="0"/>
      <w:marRight w:val="0"/>
      <w:marTop w:val="0"/>
      <w:marBottom w:val="0"/>
      <w:divBdr>
        <w:top w:val="none" w:sz="0" w:space="0" w:color="auto"/>
        <w:left w:val="none" w:sz="0" w:space="0" w:color="auto"/>
        <w:bottom w:val="none" w:sz="0" w:space="0" w:color="auto"/>
        <w:right w:val="none" w:sz="0" w:space="0" w:color="auto"/>
      </w:divBdr>
    </w:div>
    <w:div w:id="460268224">
      <w:bodyDiv w:val="1"/>
      <w:marLeft w:val="0"/>
      <w:marRight w:val="0"/>
      <w:marTop w:val="0"/>
      <w:marBottom w:val="0"/>
      <w:divBdr>
        <w:top w:val="none" w:sz="0" w:space="0" w:color="auto"/>
        <w:left w:val="none" w:sz="0" w:space="0" w:color="auto"/>
        <w:bottom w:val="none" w:sz="0" w:space="0" w:color="auto"/>
        <w:right w:val="none" w:sz="0" w:space="0" w:color="auto"/>
      </w:divBdr>
    </w:div>
    <w:div w:id="468086496">
      <w:bodyDiv w:val="1"/>
      <w:marLeft w:val="0"/>
      <w:marRight w:val="0"/>
      <w:marTop w:val="0"/>
      <w:marBottom w:val="0"/>
      <w:divBdr>
        <w:top w:val="none" w:sz="0" w:space="0" w:color="auto"/>
        <w:left w:val="none" w:sz="0" w:space="0" w:color="auto"/>
        <w:bottom w:val="none" w:sz="0" w:space="0" w:color="auto"/>
        <w:right w:val="none" w:sz="0" w:space="0" w:color="auto"/>
      </w:divBdr>
    </w:div>
    <w:div w:id="477722944">
      <w:bodyDiv w:val="1"/>
      <w:marLeft w:val="0"/>
      <w:marRight w:val="0"/>
      <w:marTop w:val="0"/>
      <w:marBottom w:val="0"/>
      <w:divBdr>
        <w:top w:val="none" w:sz="0" w:space="0" w:color="auto"/>
        <w:left w:val="none" w:sz="0" w:space="0" w:color="auto"/>
        <w:bottom w:val="none" w:sz="0" w:space="0" w:color="auto"/>
        <w:right w:val="none" w:sz="0" w:space="0" w:color="auto"/>
      </w:divBdr>
    </w:div>
    <w:div w:id="537544445">
      <w:bodyDiv w:val="1"/>
      <w:marLeft w:val="0"/>
      <w:marRight w:val="0"/>
      <w:marTop w:val="0"/>
      <w:marBottom w:val="0"/>
      <w:divBdr>
        <w:top w:val="none" w:sz="0" w:space="0" w:color="auto"/>
        <w:left w:val="none" w:sz="0" w:space="0" w:color="auto"/>
        <w:bottom w:val="none" w:sz="0" w:space="0" w:color="auto"/>
        <w:right w:val="none" w:sz="0" w:space="0" w:color="auto"/>
      </w:divBdr>
    </w:div>
    <w:div w:id="589851264">
      <w:bodyDiv w:val="1"/>
      <w:marLeft w:val="0"/>
      <w:marRight w:val="0"/>
      <w:marTop w:val="0"/>
      <w:marBottom w:val="0"/>
      <w:divBdr>
        <w:top w:val="none" w:sz="0" w:space="0" w:color="auto"/>
        <w:left w:val="none" w:sz="0" w:space="0" w:color="auto"/>
        <w:bottom w:val="none" w:sz="0" w:space="0" w:color="auto"/>
        <w:right w:val="none" w:sz="0" w:space="0" w:color="auto"/>
      </w:divBdr>
    </w:div>
    <w:div w:id="700935989">
      <w:bodyDiv w:val="1"/>
      <w:marLeft w:val="0"/>
      <w:marRight w:val="0"/>
      <w:marTop w:val="0"/>
      <w:marBottom w:val="0"/>
      <w:divBdr>
        <w:top w:val="none" w:sz="0" w:space="0" w:color="auto"/>
        <w:left w:val="none" w:sz="0" w:space="0" w:color="auto"/>
        <w:bottom w:val="none" w:sz="0" w:space="0" w:color="auto"/>
        <w:right w:val="none" w:sz="0" w:space="0" w:color="auto"/>
      </w:divBdr>
    </w:div>
    <w:div w:id="707223899">
      <w:bodyDiv w:val="1"/>
      <w:marLeft w:val="0"/>
      <w:marRight w:val="0"/>
      <w:marTop w:val="0"/>
      <w:marBottom w:val="0"/>
      <w:divBdr>
        <w:top w:val="none" w:sz="0" w:space="0" w:color="auto"/>
        <w:left w:val="none" w:sz="0" w:space="0" w:color="auto"/>
        <w:bottom w:val="none" w:sz="0" w:space="0" w:color="auto"/>
        <w:right w:val="none" w:sz="0" w:space="0" w:color="auto"/>
      </w:divBdr>
    </w:div>
    <w:div w:id="759184518">
      <w:bodyDiv w:val="1"/>
      <w:marLeft w:val="0"/>
      <w:marRight w:val="0"/>
      <w:marTop w:val="0"/>
      <w:marBottom w:val="0"/>
      <w:divBdr>
        <w:top w:val="none" w:sz="0" w:space="0" w:color="auto"/>
        <w:left w:val="none" w:sz="0" w:space="0" w:color="auto"/>
        <w:bottom w:val="none" w:sz="0" w:space="0" w:color="auto"/>
        <w:right w:val="none" w:sz="0" w:space="0" w:color="auto"/>
      </w:divBdr>
    </w:div>
    <w:div w:id="781267395">
      <w:bodyDiv w:val="1"/>
      <w:marLeft w:val="0"/>
      <w:marRight w:val="0"/>
      <w:marTop w:val="0"/>
      <w:marBottom w:val="0"/>
      <w:divBdr>
        <w:top w:val="none" w:sz="0" w:space="0" w:color="auto"/>
        <w:left w:val="none" w:sz="0" w:space="0" w:color="auto"/>
        <w:bottom w:val="none" w:sz="0" w:space="0" w:color="auto"/>
        <w:right w:val="none" w:sz="0" w:space="0" w:color="auto"/>
      </w:divBdr>
    </w:div>
    <w:div w:id="873420684">
      <w:bodyDiv w:val="1"/>
      <w:marLeft w:val="0"/>
      <w:marRight w:val="0"/>
      <w:marTop w:val="0"/>
      <w:marBottom w:val="0"/>
      <w:divBdr>
        <w:top w:val="none" w:sz="0" w:space="0" w:color="auto"/>
        <w:left w:val="none" w:sz="0" w:space="0" w:color="auto"/>
        <w:bottom w:val="none" w:sz="0" w:space="0" w:color="auto"/>
        <w:right w:val="none" w:sz="0" w:space="0" w:color="auto"/>
      </w:divBdr>
    </w:div>
    <w:div w:id="889071069">
      <w:bodyDiv w:val="1"/>
      <w:marLeft w:val="0"/>
      <w:marRight w:val="0"/>
      <w:marTop w:val="0"/>
      <w:marBottom w:val="0"/>
      <w:divBdr>
        <w:top w:val="none" w:sz="0" w:space="0" w:color="auto"/>
        <w:left w:val="none" w:sz="0" w:space="0" w:color="auto"/>
        <w:bottom w:val="none" w:sz="0" w:space="0" w:color="auto"/>
        <w:right w:val="none" w:sz="0" w:space="0" w:color="auto"/>
      </w:divBdr>
    </w:div>
    <w:div w:id="899249078">
      <w:bodyDiv w:val="1"/>
      <w:marLeft w:val="0"/>
      <w:marRight w:val="0"/>
      <w:marTop w:val="0"/>
      <w:marBottom w:val="0"/>
      <w:divBdr>
        <w:top w:val="none" w:sz="0" w:space="0" w:color="auto"/>
        <w:left w:val="none" w:sz="0" w:space="0" w:color="auto"/>
        <w:bottom w:val="none" w:sz="0" w:space="0" w:color="auto"/>
        <w:right w:val="none" w:sz="0" w:space="0" w:color="auto"/>
      </w:divBdr>
    </w:div>
    <w:div w:id="955523691">
      <w:bodyDiv w:val="1"/>
      <w:marLeft w:val="0"/>
      <w:marRight w:val="0"/>
      <w:marTop w:val="0"/>
      <w:marBottom w:val="0"/>
      <w:divBdr>
        <w:top w:val="none" w:sz="0" w:space="0" w:color="auto"/>
        <w:left w:val="none" w:sz="0" w:space="0" w:color="auto"/>
        <w:bottom w:val="none" w:sz="0" w:space="0" w:color="auto"/>
        <w:right w:val="none" w:sz="0" w:space="0" w:color="auto"/>
      </w:divBdr>
    </w:div>
    <w:div w:id="984775383">
      <w:bodyDiv w:val="1"/>
      <w:marLeft w:val="0"/>
      <w:marRight w:val="0"/>
      <w:marTop w:val="0"/>
      <w:marBottom w:val="0"/>
      <w:divBdr>
        <w:top w:val="none" w:sz="0" w:space="0" w:color="auto"/>
        <w:left w:val="none" w:sz="0" w:space="0" w:color="auto"/>
        <w:bottom w:val="none" w:sz="0" w:space="0" w:color="auto"/>
        <w:right w:val="none" w:sz="0" w:space="0" w:color="auto"/>
      </w:divBdr>
    </w:div>
    <w:div w:id="989822612">
      <w:bodyDiv w:val="1"/>
      <w:marLeft w:val="0"/>
      <w:marRight w:val="0"/>
      <w:marTop w:val="0"/>
      <w:marBottom w:val="0"/>
      <w:divBdr>
        <w:top w:val="none" w:sz="0" w:space="0" w:color="auto"/>
        <w:left w:val="none" w:sz="0" w:space="0" w:color="auto"/>
        <w:bottom w:val="none" w:sz="0" w:space="0" w:color="auto"/>
        <w:right w:val="none" w:sz="0" w:space="0" w:color="auto"/>
      </w:divBdr>
    </w:div>
    <w:div w:id="991831486">
      <w:bodyDiv w:val="1"/>
      <w:marLeft w:val="0"/>
      <w:marRight w:val="0"/>
      <w:marTop w:val="0"/>
      <w:marBottom w:val="0"/>
      <w:divBdr>
        <w:top w:val="none" w:sz="0" w:space="0" w:color="auto"/>
        <w:left w:val="none" w:sz="0" w:space="0" w:color="auto"/>
        <w:bottom w:val="none" w:sz="0" w:space="0" w:color="auto"/>
        <w:right w:val="none" w:sz="0" w:space="0" w:color="auto"/>
      </w:divBdr>
    </w:div>
    <w:div w:id="1001590512">
      <w:bodyDiv w:val="1"/>
      <w:marLeft w:val="0"/>
      <w:marRight w:val="0"/>
      <w:marTop w:val="0"/>
      <w:marBottom w:val="0"/>
      <w:divBdr>
        <w:top w:val="none" w:sz="0" w:space="0" w:color="auto"/>
        <w:left w:val="none" w:sz="0" w:space="0" w:color="auto"/>
        <w:bottom w:val="none" w:sz="0" w:space="0" w:color="auto"/>
        <w:right w:val="none" w:sz="0" w:space="0" w:color="auto"/>
      </w:divBdr>
    </w:div>
    <w:div w:id="1002322389">
      <w:bodyDiv w:val="1"/>
      <w:marLeft w:val="0"/>
      <w:marRight w:val="0"/>
      <w:marTop w:val="0"/>
      <w:marBottom w:val="0"/>
      <w:divBdr>
        <w:top w:val="none" w:sz="0" w:space="0" w:color="auto"/>
        <w:left w:val="none" w:sz="0" w:space="0" w:color="auto"/>
        <w:bottom w:val="none" w:sz="0" w:space="0" w:color="auto"/>
        <w:right w:val="none" w:sz="0" w:space="0" w:color="auto"/>
      </w:divBdr>
    </w:div>
    <w:div w:id="1008213857">
      <w:bodyDiv w:val="1"/>
      <w:marLeft w:val="0"/>
      <w:marRight w:val="0"/>
      <w:marTop w:val="0"/>
      <w:marBottom w:val="0"/>
      <w:divBdr>
        <w:top w:val="none" w:sz="0" w:space="0" w:color="auto"/>
        <w:left w:val="none" w:sz="0" w:space="0" w:color="auto"/>
        <w:bottom w:val="none" w:sz="0" w:space="0" w:color="auto"/>
        <w:right w:val="none" w:sz="0" w:space="0" w:color="auto"/>
      </w:divBdr>
    </w:div>
    <w:div w:id="1061749729">
      <w:bodyDiv w:val="1"/>
      <w:marLeft w:val="0"/>
      <w:marRight w:val="0"/>
      <w:marTop w:val="0"/>
      <w:marBottom w:val="0"/>
      <w:divBdr>
        <w:top w:val="none" w:sz="0" w:space="0" w:color="auto"/>
        <w:left w:val="none" w:sz="0" w:space="0" w:color="auto"/>
        <w:bottom w:val="none" w:sz="0" w:space="0" w:color="auto"/>
        <w:right w:val="none" w:sz="0" w:space="0" w:color="auto"/>
      </w:divBdr>
    </w:div>
    <w:div w:id="1063018484">
      <w:bodyDiv w:val="1"/>
      <w:marLeft w:val="0"/>
      <w:marRight w:val="0"/>
      <w:marTop w:val="0"/>
      <w:marBottom w:val="0"/>
      <w:divBdr>
        <w:top w:val="none" w:sz="0" w:space="0" w:color="auto"/>
        <w:left w:val="none" w:sz="0" w:space="0" w:color="auto"/>
        <w:bottom w:val="none" w:sz="0" w:space="0" w:color="auto"/>
        <w:right w:val="none" w:sz="0" w:space="0" w:color="auto"/>
      </w:divBdr>
    </w:div>
    <w:div w:id="1064185335">
      <w:bodyDiv w:val="1"/>
      <w:marLeft w:val="0"/>
      <w:marRight w:val="0"/>
      <w:marTop w:val="0"/>
      <w:marBottom w:val="0"/>
      <w:divBdr>
        <w:top w:val="none" w:sz="0" w:space="0" w:color="auto"/>
        <w:left w:val="none" w:sz="0" w:space="0" w:color="auto"/>
        <w:bottom w:val="none" w:sz="0" w:space="0" w:color="auto"/>
        <w:right w:val="none" w:sz="0" w:space="0" w:color="auto"/>
      </w:divBdr>
    </w:div>
    <w:div w:id="1085031940">
      <w:bodyDiv w:val="1"/>
      <w:marLeft w:val="0"/>
      <w:marRight w:val="0"/>
      <w:marTop w:val="0"/>
      <w:marBottom w:val="0"/>
      <w:divBdr>
        <w:top w:val="none" w:sz="0" w:space="0" w:color="auto"/>
        <w:left w:val="none" w:sz="0" w:space="0" w:color="auto"/>
        <w:bottom w:val="none" w:sz="0" w:space="0" w:color="auto"/>
        <w:right w:val="none" w:sz="0" w:space="0" w:color="auto"/>
      </w:divBdr>
    </w:div>
    <w:div w:id="1157843416">
      <w:bodyDiv w:val="1"/>
      <w:marLeft w:val="0"/>
      <w:marRight w:val="0"/>
      <w:marTop w:val="0"/>
      <w:marBottom w:val="0"/>
      <w:divBdr>
        <w:top w:val="none" w:sz="0" w:space="0" w:color="auto"/>
        <w:left w:val="none" w:sz="0" w:space="0" w:color="auto"/>
        <w:bottom w:val="none" w:sz="0" w:space="0" w:color="auto"/>
        <w:right w:val="none" w:sz="0" w:space="0" w:color="auto"/>
      </w:divBdr>
    </w:div>
    <w:div w:id="1190800789">
      <w:bodyDiv w:val="1"/>
      <w:marLeft w:val="0"/>
      <w:marRight w:val="0"/>
      <w:marTop w:val="0"/>
      <w:marBottom w:val="0"/>
      <w:divBdr>
        <w:top w:val="none" w:sz="0" w:space="0" w:color="auto"/>
        <w:left w:val="none" w:sz="0" w:space="0" w:color="auto"/>
        <w:bottom w:val="none" w:sz="0" w:space="0" w:color="auto"/>
        <w:right w:val="none" w:sz="0" w:space="0" w:color="auto"/>
      </w:divBdr>
    </w:div>
    <w:div w:id="1193803884">
      <w:bodyDiv w:val="1"/>
      <w:marLeft w:val="0"/>
      <w:marRight w:val="0"/>
      <w:marTop w:val="0"/>
      <w:marBottom w:val="0"/>
      <w:divBdr>
        <w:top w:val="none" w:sz="0" w:space="0" w:color="auto"/>
        <w:left w:val="none" w:sz="0" w:space="0" w:color="auto"/>
        <w:bottom w:val="none" w:sz="0" w:space="0" w:color="auto"/>
        <w:right w:val="none" w:sz="0" w:space="0" w:color="auto"/>
      </w:divBdr>
    </w:div>
    <w:div w:id="1232083384">
      <w:bodyDiv w:val="1"/>
      <w:marLeft w:val="0"/>
      <w:marRight w:val="0"/>
      <w:marTop w:val="0"/>
      <w:marBottom w:val="0"/>
      <w:divBdr>
        <w:top w:val="none" w:sz="0" w:space="0" w:color="auto"/>
        <w:left w:val="none" w:sz="0" w:space="0" w:color="auto"/>
        <w:bottom w:val="none" w:sz="0" w:space="0" w:color="auto"/>
        <w:right w:val="none" w:sz="0" w:space="0" w:color="auto"/>
      </w:divBdr>
    </w:div>
    <w:div w:id="1234193924">
      <w:bodyDiv w:val="1"/>
      <w:marLeft w:val="0"/>
      <w:marRight w:val="0"/>
      <w:marTop w:val="0"/>
      <w:marBottom w:val="0"/>
      <w:divBdr>
        <w:top w:val="none" w:sz="0" w:space="0" w:color="auto"/>
        <w:left w:val="none" w:sz="0" w:space="0" w:color="auto"/>
        <w:bottom w:val="none" w:sz="0" w:space="0" w:color="auto"/>
        <w:right w:val="none" w:sz="0" w:space="0" w:color="auto"/>
      </w:divBdr>
    </w:div>
    <w:div w:id="1290552552">
      <w:bodyDiv w:val="1"/>
      <w:marLeft w:val="0"/>
      <w:marRight w:val="0"/>
      <w:marTop w:val="0"/>
      <w:marBottom w:val="0"/>
      <w:divBdr>
        <w:top w:val="none" w:sz="0" w:space="0" w:color="auto"/>
        <w:left w:val="none" w:sz="0" w:space="0" w:color="auto"/>
        <w:bottom w:val="none" w:sz="0" w:space="0" w:color="auto"/>
        <w:right w:val="none" w:sz="0" w:space="0" w:color="auto"/>
      </w:divBdr>
    </w:div>
    <w:div w:id="1301883934">
      <w:bodyDiv w:val="1"/>
      <w:marLeft w:val="0"/>
      <w:marRight w:val="0"/>
      <w:marTop w:val="0"/>
      <w:marBottom w:val="0"/>
      <w:divBdr>
        <w:top w:val="none" w:sz="0" w:space="0" w:color="auto"/>
        <w:left w:val="none" w:sz="0" w:space="0" w:color="auto"/>
        <w:bottom w:val="none" w:sz="0" w:space="0" w:color="auto"/>
        <w:right w:val="none" w:sz="0" w:space="0" w:color="auto"/>
      </w:divBdr>
    </w:div>
    <w:div w:id="1379088599">
      <w:bodyDiv w:val="1"/>
      <w:marLeft w:val="0"/>
      <w:marRight w:val="0"/>
      <w:marTop w:val="0"/>
      <w:marBottom w:val="0"/>
      <w:divBdr>
        <w:top w:val="none" w:sz="0" w:space="0" w:color="auto"/>
        <w:left w:val="none" w:sz="0" w:space="0" w:color="auto"/>
        <w:bottom w:val="none" w:sz="0" w:space="0" w:color="auto"/>
        <w:right w:val="none" w:sz="0" w:space="0" w:color="auto"/>
      </w:divBdr>
    </w:div>
    <w:div w:id="1443920434">
      <w:bodyDiv w:val="1"/>
      <w:marLeft w:val="0"/>
      <w:marRight w:val="0"/>
      <w:marTop w:val="0"/>
      <w:marBottom w:val="0"/>
      <w:divBdr>
        <w:top w:val="none" w:sz="0" w:space="0" w:color="auto"/>
        <w:left w:val="none" w:sz="0" w:space="0" w:color="auto"/>
        <w:bottom w:val="none" w:sz="0" w:space="0" w:color="auto"/>
        <w:right w:val="none" w:sz="0" w:space="0" w:color="auto"/>
      </w:divBdr>
    </w:div>
    <w:div w:id="1450472036">
      <w:bodyDiv w:val="1"/>
      <w:marLeft w:val="0"/>
      <w:marRight w:val="0"/>
      <w:marTop w:val="0"/>
      <w:marBottom w:val="0"/>
      <w:divBdr>
        <w:top w:val="none" w:sz="0" w:space="0" w:color="auto"/>
        <w:left w:val="none" w:sz="0" w:space="0" w:color="auto"/>
        <w:bottom w:val="none" w:sz="0" w:space="0" w:color="auto"/>
        <w:right w:val="none" w:sz="0" w:space="0" w:color="auto"/>
      </w:divBdr>
    </w:div>
    <w:div w:id="1466046038">
      <w:bodyDiv w:val="1"/>
      <w:marLeft w:val="0"/>
      <w:marRight w:val="0"/>
      <w:marTop w:val="0"/>
      <w:marBottom w:val="0"/>
      <w:divBdr>
        <w:top w:val="none" w:sz="0" w:space="0" w:color="auto"/>
        <w:left w:val="none" w:sz="0" w:space="0" w:color="auto"/>
        <w:bottom w:val="none" w:sz="0" w:space="0" w:color="auto"/>
        <w:right w:val="none" w:sz="0" w:space="0" w:color="auto"/>
      </w:divBdr>
    </w:div>
    <w:div w:id="1518033136">
      <w:bodyDiv w:val="1"/>
      <w:marLeft w:val="0"/>
      <w:marRight w:val="0"/>
      <w:marTop w:val="0"/>
      <w:marBottom w:val="0"/>
      <w:divBdr>
        <w:top w:val="none" w:sz="0" w:space="0" w:color="auto"/>
        <w:left w:val="none" w:sz="0" w:space="0" w:color="auto"/>
        <w:bottom w:val="none" w:sz="0" w:space="0" w:color="auto"/>
        <w:right w:val="none" w:sz="0" w:space="0" w:color="auto"/>
      </w:divBdr>
    </w:div>
    <w:div w:id="1518227745">
      <w:bodyDiv w:val="1"/>
      <w:marLeft w:val="0"/>
      <w:marRight w:val="0"/>
      <w:marTop w:val="0"/>
      <w:marBottom w:val="0"/>
      <w:divBdr>
        <w:top w:val="none" w:sz="0" w:space="0" w:color="auto"/>
        <w:left w:val="none" w:sz="0" w:space="0" w:color="auto"/>
        <w:bottom w:val="none" w:sz="0" w:space="0" w:color="auto"/>
        <w:right w:val="none" w:sz="0" w:space="0" w:color="auto"/>
      </w:divBdr>
    </w:div>
    <w:div w:id="1519807143">
      <w:bodyDiv w:val="1"/>
      <w:marLeft w:val="0"/>
      <w:marRight w:val="0"/>
      <w:marTop w:val="0"/>
      <w:marBottom w:val="0"/>
      <w:divBdr>
        <w:top w:val="none" w:sz="0" w:space="0" w:color="auto"/>
        <w:left w:val="none" w:sz="0" w:space="0" w:color="auto"/>
        <w:bottom w:val="none" w:sz="0" w:space="0" w:color="auto"/>
        <w:right w:val="none" w:sz="0" w:space="0" w:color="auto"/>
      </w:divBdr>
    </w:div>
    <w:div w:id="1521971327">
      <w:bodyDiv w:val="1"/>
      <w:marLeft w:val="0"/>
      <w:marRight w:val="0"/>
      <w:marTop w:val="0"/>
      <w:marBottom w:val="0"/>
      <w:divBdr>
        <w:top w:val="none" w:sz="0" w:space="0" w:color="auto"/>
        <w:left w:val="none" w:sz="0" w:space="0" w:color="auto"/>
        <w:bottom w:val="none" w:sz="0" w:space="0" w:color="auto"/>
        <w:right w:val="none" w:sz="0" w:space="0" w:color="auto"/>
      </w:divBdr>
    </w:div>
    <w:div w:id="1580217052">
      <w:bodyDiv w:val="1"/>
      <w:marLeft w:val="0"/>
      <w:marRight w:val="0"/>
      <w:marTop w:val="0"/>
      <w:marBottom w:val="0"/>
      <w:divBdr>
        <w:top w:val="none" w:sz="0" w:space="0" w:color="auto"/>
        <w:left w:val="none" w:sz="0" w:space="0" w:color="auto"/>
        <w:bottom w:val="none" w:sz="0" w:space="0" w:color="auto"/>
        <w:right w:val="none" w:sz="0" w:space="0" w:color="auto"/>
      </w:divBdr>
    </w:div>
    <w:div w:id="1623071535">
      <w:bodyDiv w:val="1"/>
      <w:marLeft w:val="0"/>
      <w:marRight w:val="0"/>
      <w:marTop w:val="0"/>
      <w:marBottom w:val="0"/>
      <w:divBdr>
        <w:top w:val="none" w:sz="0" w:space="0" w:color="auto"/>
        <w:left w:val="none" w:sz="0" w:space="0" w:color="auto"/>
        <w:bottom w:val="none" w:sz="0" w:space="0" w:color="auto"/>
        <w:right w:val="none" w:sz="0" w:space="0" w:color="auto"/>
      </w:divBdr>
    </w:div>
    <w:div w:id="1626737137">
      <w:bodyDiv w:val="1"/>
      <w:marLeft w:val="0"/>
      <w:marRight w:val="0"/>
      <w:marTop w:val="0"/>
      <w:marBottom w:val="0"/>
      <w:divBdr>
        <w:top w:val="none" w:sz="0" w:space="0" w:color="auto"/>
        <w:left w:val="none" w:sz="0" w:space="0" w:color="auto"/>
        <w:bottom w:val="none" w:sz="0" w:space="0" w:color="auto"/>
        <w:right w:val="none" w:sz="0" w:space="0" w:color="auto"/>
      </w:divBdr>
    </w:div>
    <w:div w:id="1673755027">
      <w:bodyDiv w:val="1"/>
      <w:marLeft w:val="0"/>
      <w:marRight w:val="0"/>
      <w:marTop w:val="0"/>
      <w:marBottom w:val="0"/>
      <w:divBdr>
        <w:top w:val="none" w:sz="0" w:space="0" w:color="auto"/>
        <w:left w:val="none" w:sz="0" w:space="0" w:color="auto"/>
        <w:bottom w:val="none" w:sz="0" w:space="0" w:color="auto"/>
        <w:right w:val="none" w:sz="0" w:space="0" w:color="auto"/>
      </w:divBdr>
    </w:div>
    <w:div w:id="1720741790">
      <w:bodyDiv w:val="1"/>
      <w:marLeft w:val="0"/>
      <w:marRight w:val="0"/>
      <w:marTop w:val="0"/>
      <w:marBottom w:val="0"/>
      <w:divBdr>
        <w:top w:val="none" w:sz="0" w:space="0" w:color="auto"/>
        <w:left w:val="none" w:sz="0" w:space="0" w:color="auto"/>
        <w:bottom w:val="none" w:sz="0" w:space="0" w:color="auto"/>
        <w:right w:val="none" w:sz="0" w:space="0" w:color="auto"/>
      </w:divBdr>
    </w:div>
    <w:div w:id="1785227603">
      <w:bodyDiv w:val="1"/>
      <w:marLeft w:val="0"/>
      <w:marRight w:val="0"/>
      <w:marTop w:val="0"/>
      <w:marBottom w:val="0"/>
      <w:divBdr>
        <w:top w:val="none" w:sz="0" w:space="0" w:color="auto"/>
        <w:left w:val="none" w:sz="0" w:space="0" w:color="auto"/>
        <w:bottom w:val="none" w:sz="0" w:space="0" w:color="auto"/>
        <w:right w:val="none" w:sz="0" w:space="0" w:color="auto"/>
      </w:divBdr>
    </w:div>
    <w:div w:id="1800760350">
      <w:bodyDiv w:val="1"/>
      <w:marLeft w:val="0"/>
      <w:marRight w:val="0"/>
      <w:marTop w:val="0"/>
      <w:marBottom w:val="0"/>
      <w:divBdr>
        <w:top w:val="none" w:sz="0" w:space="0" w:color="auto"/>
        <w:left w:val="none" w:sz="0" w:space="0" w:color="auto"/>
        <w:bottom w:val="none" w:sz="0" w:space="0" w:color="auto"/>
        <w:right w:val="none" w:sz="0" w:space="0" w:color="auto"/>
      </w:divBdr>
    </w:div>
    <w:div w:id="1805731355">
      <w:bodyDiv w:val="1"/>
      <w:marLeft w:val="0"/>
      <w:marRight w:val="0"/>
      <w:marTop w:val="0"/>
      <w:marBottom w:val="0"/>
      <w:divBdr>
        <w:top w:val="none" w:sz="0" w:space="0" w:color="auto"/>
        <w:left w:val="none" w:sz="0" w:space="0" w:color="auto"/>
        <w:bottom w:val="none" w:sz="0" w:space="0" w:color="auto"/>
        <w:right w:val="none" w:sz="0" w:space="0" w:color="auto"/>
      </w:divBdr>
    </w:div>
    <w:div w:id="1808008914">
      <w:bodyDiv w:val="1"/>
      <w:marLeft w:val="0"/>
      <w:marRight w:val="0"/>
      <w:marTop w:val="0"/>
      <w:marBottom w:val="0"/>
      <w:divBdr>
        <w:top w:val="none" w:sz="0" w:space="0" w:color="auto"/>
        <w:left w:val="none" w:sz="0" w:space="0" w:color="auto"/>
        <w:bottom w:val="none" w:sz="0" w:space="0" w:color="auto"/>
        <w:right w:val="none" w:sz="0" w:space="0" w:color="auto"/>
      </w:divBdr>
    </w:div>
    <w:div w:id="1893423925">
      <w:bodyDiv w:val="1"/>
      <w:marLeft w:val="0"/>
      <w:marRight w:val="0"/>
      <w:marTop w:val="0"/>
      <w:marBottom w:val="0"/>
      <w:divBdr>
        <w:top w:val="none" w:sz="0" w:space="0" w:color="auto"/>
        <w:left w:val="none" w:sz="0" w:space="0" w:color="auto"/>
        <w:bottom w:val="none" w:sz="0" w:space="0" w:color="auto"/>
        <w:right w:val="none" w:sz="0" w:space="0" w:color="auto"/>
      </w:divBdr>
    </w:div>
    <w:div w:id="1996030144">
      <w:bodyDiv w:val="1"/>
      <w:marLeft w:val="0"/>
      <w:marRight w:val="0"/>
      <w:marTop w:val="0"/>
      <w:marBottom w:val="0"/>
      <w:divBdr>
        <w:top w:val="none" w:sz="0" w:space="0" w:color="auto"/>
        <w:left w:val="none" w:sz="0" w:space="0" w:color="auto"/>
        <w:bottom w:val="none" w:sz="0" w:space="0" w:color="auto"/>
        <w:right w:val="none" w:sz="0" w:space="0" w:color="auto"/>
      </w:divBdr>
    </w:div>
    <w:div w:id="2013408773">
      <w:bodyDiv w:val="1"/>
      <w:marLeft w:val="0"/>
      <w:marRight w:val="0"/>
      <w:marTop w:val="0"/>
      <w:marBottom w:val="0"/>
      <w:divBdr>
        <w:top w:val="none" w:sz="0" w:space="0" w:color="auto"/>
        <w:left w:val="none" w:sz="0" w:space="0" w:color="auto"/>
        <w:bottom w:val="none" w:sz="0" w:space="0" w:color="auto"/>
        <w:right w:val="none" w:sz="0" w:space="0" w:color="auto"/>
      </w:divBdr>
    </w:div>
    <w:div w:id="2022197151">
      <w:bodyDiv w:val="1"/>
      <w:marLeft w:val="0"/>
      <w:marRight w:val="0"/>
      <w:marTop w:val="0"/>
      <w:marBottom w:val="0"/>
      <w:divBdr>
        <w:top w:val="none" w:sz="0" w:space="0" w:color="auto"/>
        <w:left w:val="none" w:sz="0" w:space="0" w:color="auto"/>
        <w:bottom w:val="none" w:sz="0" w:space="0" w:color="auto"/>
        <w:right w:val="none" w:sz="0" w:space="0" w:color="auto"/>
      </w:divBdr>
    </w:div>
    <w:div w:id="2074619572">
      <w:bodyDiv w:val="1"/>
      <w:marLeft w:val="0"/>
      <w:marRight w:val="0"/>
      <w:marTop w:val="0"/>
      <w:marBottom w:val="0"/>
      <w:divBdr>
        <w:top w:val="none" w:sz="0" w:space="0" w:color="auto"/>
        <w:left w:val="none" w:sz="0" w:space="0" w:color="auto"/>
        <w:bottom w:val="none" w:sz="0" w:space="0" w:color="auto"/>
        <w:right w:val="none" w:sz="0" w:space="0" w:color="auto"/>
      </w:divBdr>
    </w:div>
    <w:div w:id="2081710030">
      <w:bodyDiv w:val="1"/>
      <w:marLeft w:val="0"/>
      <w:marRight w:val="0"/>
      <w:marTop w:val="0"/>
      <w:marBottom w:val="0"/>
      <w:divBdr>
        <w:top w:val="none" w:sz="0" w:space="0" w:color="auto"/>
        <w:left w:val="none" w:sz="0" w:space="0" w:color="auto"/>
        <w:bottom w:val="none" w:sz="0" w:space="0" w:color="auto"/>
        <w:right w:val="none" w:sz="0" w:space="0" w:color="auto"/>
      </w:divBdr>
    </w:div>
    <w:div w:id="210752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styles" Target="styles.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webSettings" Target="webSettings.xml"/><Relationship Id="rId24" Type="http://schemas.openxmlformats.org/officeDocument/2006/relationships/hyperlink" Target="https://webgate.ec.europa.eu/rasff-window/screen/notification/874156" TargetMode="External"/><Relationship Id="rId25" Type="http://schemas.openxmlformats.org/officeDocument/2006/relationships/hyperlink" Target="https://webgate.ec.europa.eu/rasff-window/screen/notification/874419" TargetMode="External"/><Relationship Id="rId26" Type="http://schemas.openxmlformats.org/officeDocument/2006/relationships/hyperlink" Target="https://webgate.ec.europa.eu/rasff-window/screen/notification/874560" TargetMode="External"/><Relationship Id="rId27" Type="http://schemas.openxmlformats.org/officeDocument/2006/relationships/hyperlink" Target="https://webgate.ec.europa.eu/rasff-window/screen/notification/874603" TargetMode="External"/><Relationship Id="rId28" Type="http://schemas.openxmlformats.org/officeDocument/2006/relationships/hyperlink" Target="https://webgate.ec.europa.eu/rasff-window/screen/notification/873721" TargetMode="External"/><Relationship Id="rId29" Type="http://schemas.openxmlformats.org/officeDocument/2006/relationships/hyperlink" Target="https://inspection.canada.ca/en/about-cfia/transparency/consultations-and-engagement/buttermilk-and-skim-milk" TargetMode="External"/><Relationship Id="rId30" Type="http://schemas.openxmlformats.org/officeDocument/2006/relationships/hyperlink" Target="https://eur-lex.europa.eu/eli/reg_impl/2026/2130/oj/eng" TargetMode="External"/><Relationship Id="rId8" Type="http://schemas.openxmlformats.org/officeDocument/2006/relationships/hyperlink" Target="https://eur-lex.europa.eu/eli/reg_impl/2026/2110/oj/eng" TargetMode="External"/><Relationship Id="rId9" Type="http://schemas.openxmlformats.org/officeDocument/2006/relationships/hyperlink" Target="https://eur-lex.europa.eu/eli/reg_impl/2026/2113/oj/eng" TargetMode="External"/><Relationship Id="rId10" Type="http://schemas.openxmlformats.org/officeDocument/2006/relationships/hyperlink" Target="https://eur-lex.europa.eu/eli/reg_impl/2026/2115/oj/eng" TargetMode="External"/><Relationship Id="rId11" Type="http://schemas.openxmlformats.org/officeDocument/2006/relationships/hyperlink" Target="https://eur-lex.europa.eu/eli/reg_impl/2026/2120/oj/eng" TargetMode="External"/><Relationship Id="rId12" Type="http://schemas.openxmlformats.org/officeDocument/2006/relationships/hyperlink" Target="https://eur-lex.europa.eu/eli/reg_impl/2026/2129/oj/eng" TargetMode="External"/><Relationship Id="rId13" Type="http://schemas.openxmlformats.org/officeDocument/2006/relationships/hyperlink" Target="https://xmsyj.moa.gov.cn/jcyj/202609/t20260922_6488016.htm" TargetMode="External"/><Relationship Id="rId14" Type="http://schemas.openxmlformats.org/officeDocument/2006/relationships/hyperlink" Target="https://www.nhc.gov.cn/sps/c100088/202609/4f357dbdd51748fea20ce817d0466c40.s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Default Theme">
  <a:themeElements>
    <a:clrScheme name="SGS">
      <a:dk1>
        <a:sysClr val="windowText" lastClr="000000"/>
      </a:dk1>
      <a:lt1>
        <a:sysClr val="window" lastClr="FFFFFF"/>
      </a:lt1>
      <a:dk2>
        <a:srgbClr val="000000"/>
      </a:dk2>
      <a:lt2>
        <a:srgbClr val="EEECE1"/>
      </a:lt2>
      <a:accent1>
        <a:srgbClr val="363636"/>
      </a:accent1>
      <a:accent2>
        <a:srgbClr val="848685"/>
      </a:accent2>
      <a:accent3>
        <a:srgbClr val="FF6600"/>
      </a:accent3>
      <a:accent4>
        <a:srgbClr val="BCBCBC"/>
      </a:accent4>
      <a:accent5>
        <a:srgbClr val="FF9900"/>
      </a:accent5>
      <a:accent6>
        <a:srgbClr val="FF0000"/>
      </a:accent6>
      <a:hlink>
        <a:srgbClr val="FF0000"/>
      </a:hlink>
      <a:folHlink>
        <a:srgbClr val="BCBCBC"/>
      </a:folHlink>
    </a:clrScheme>
    <a:fontScheme name="default">
      <a:majorFont>
        <a:latin typeface="黑体"/>
        <a:ea typeface="宋体"/>
        <a:cs typeface="宋体"/>
      </a:majorFont>
      <a:minorFont>
        <a:latin typeface="黑体"/>
        <a:ea typeface="宋体"/>
        <a:cs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2400" b="0" i="0" u="none" strike="noStrike" cap="none" normalizeH="0" baseline="0" smtClean="0">
            <a:ln>
              <a:noFill/>
            </a:ln>
            <a:solidFill>
              <a:schemeClr val="tx1"/>
            </a:solidFill>
            <a:effectLst/>
            <a:latin typeface="宋体" pitchFamily="18" charset="0"/>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2400" b="0" i="0" u="none" strike="noStrike" cap="none" normalizeH="0" baseline="0" smtClean="0">
            <a:ln>
              <a:noFill/>
            </a:ln>
            <a:solidFill>
              <a:schemeClr val="tx1"/>
            </a:solidFill>
            <a:effectLst/>
            <a:latin typeface="宋体" pitchFamily="18" charset="0"/>
          </a:defRPr>
        </a:defPPr>
      </a:lstStyle>
    </a:lnDef>
  </a:objectDefaults>
  <a:extraClrSchemeLst>
    <a:extraClrScheme>
      <a:clrScheme name="default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default 2">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default 3">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default 4">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default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default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default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2</Pages>
  <Words>768</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Yu</dc:creator>
  <cp:keywords/>
  <dc:description/>
  <cp:lastModifiedBy>Neil Yu</cp:lastModifiedBy>
  <cp:revision>11</cp:revision>
  <cp:lastPrinted>2025-02-06T01:14:00Z</cp:lastPrinted>
  <dcterms:created xsi:type="dcterms:W3CDTF">2025-02-06T00:57:00Z</dcterms:created>
  <dcterms:modified xsi:type="dcterms:W3CDTF">2025-02-06T07:40:00Z</dcterms:modified>
</cp:coreProperties>
</file>