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4E5A" w14:textId="5E9DA155" w:rsidR="006C3F59" w:rsidRDefault="006C3F59" w:rsidP="006C3F59">
      <w:pPr>
        <w:shd w:val="clear" w:color="auto" w:fill="FFFFFF"/>
        <w:spacing w:before="0"/>
        <w:jc w:val="center"/>
        <w:outlineLvl w:val="0"/>
        <w:rPr>
          <w:rFonts w:ascii="黑体" w:eastAsia="黑体" w:hAnsi="黑体" w:cs="黑体" w:hint="eastAsia"/>
          <w:b/>
          <w:bCs/>
          <w:color w:val="000000"/>
          <w:kern w:val="36"/>
          <w:sz w:val="24"/>
          <w:lang w:val="en-US" w:eastAsia="zh-CN"/>
        </w:rPr>
      </w:pPr>
      <w:r w:rsidRPr="006C3F59">
        <w:rPr>
          <w:rFonts w:ascii="黑体" w:eastAsia="黑体" w:hAnsi="黑体" w:cs="黑体"/>
          <w:b/>
          <w:bCs/>
          <w:noProof/>
          <w:color w:val="000000"/>
          <w:kern w:val="36"/>
          <w:sz w:val="24"/>
          <w:lang w:eastAsia="zh-CN"/>
        </w:rPr>
        <w:drawing>
          <wp:inline distT="0" distB="0" distL="0" distR="0" wp14:anchorId="60431849" wp14:editId="0907A3A1">
            <wp:extent cx="3695700" cy="2428875"/>
            <wp:effectExtent l="0" t="0" r="0" b="952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7F566E8-9032-4A98-922B-EE5BC6E0C3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7F566E8-9032-4A98-922B-EE5BC6E0C3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2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80" w:line="276" w:lineRule="auto"/>
        <w:jc w:val="center"/>
      </w:pPr>
      <w:r>
        <w:rPr>
          <w:rFonts w:ascii="黑体" w:hAnsi="黑体" w:eastAsia="黑体" w:cs="黑体"/>
          <w:b/>
          <w:sz w:val="40"/>
        </w:rPr>
        <w:t>宠物食品与动物饲料行业周报</w:t>
      </w:r>
    </w:p>
    <w:p>
      <w:pPr>
        <w:keepNext w:val="0"/>
        <w:spacing w:before="0" w:after="160" w:line="276" w:lineRule="auto"/>
        <w:jc w:val="center"/>
      </w:pPr>
      <w:r>
        <w:rPr>
          <w:rFonts w:ascii="黑体" w:hAnsi="黑体" w:eastAsia="黑体" w:cs="黑体"/>
          <w:b/>
          <w:sz w:val="24"/>
        </w:rPr>
        <w:t>2026-09-26 00:00 至 2026-10-02 19:00 北京时间</w:t>
      </w:r>
    </w:p>
    <w:p>
      <w:pPr>
        <w:keepNext w:val="0"/>
        <w:spacing w:before="0" w:after="160" w:line="276" w:lineRule="auto"/>
      </w:pPr>
      <w:r>
        <w:rPr>
          <w:rFonts w:ascii="宋体" w:hAnsi="宋体" w:eastAsia="宋体" w:cs="宋体"/>
          <w:b w:val="0"/>
          <w:sz w:val="19"/>
        </w:rPr>
        <w:t>本期关注已核实的饲料安全通报、认证规则、蛋白原料研发与中国市场新披露。建议优先核对动物源原料与宠物补充料的批次风险，并把原料替换、可持续声明和功能宣称分别纳入验证。起止时点均计入本期。</w:t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一、本周重点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欧盟 RASFF 核得 4 条当周饲料通报，涉及加工动物蛋白沙门氏菌、宠物补充料漏检、猫粮异物与鱼粉乙氧基喹啉。危害与程序违规应分别处置。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GMP+ 于 10 月 1 日确认，负责任大豆的 Book &amp; Claim 与 Mass Balance 模式在 2026 年底后继续获得认可；企业仍须满足适用的 EUDR 要求。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欧委会资助的 ProFEED 项目于 10 月 1 日启动，拟研究本地植物蛋白与饲料配方。减少豆粕依赖是项目目标，尚不是已经验证的商业效果。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中国 9 月 30 日官方监测显示豆粕均价 3.41 元/公斤、环比上涨 0.9%。同期地方采访呈现水产原料配套和工作犬粮等细分需求，不能据个案外推全行业增长。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二、本周风险与行动快表</w:t>
      </w:r>
    </w:p>
    <w:tbl>
      <w:tblPr>
        <w:tblStyle w:val="afb"/>
        <w:tblW w:type="dxa" w:w="9677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1613"/>
        <w:gridCol w:w="1296"/>
        <w:gridCol w:w="2462"/>
        <w:gridCol w:w="792"/>
        <w:gridCol w:w="2678"/>
      </w:tblGrid>
      <w:tr>
        <w:trPr>
          <w:tblHeader w:val="true"/>
          <w:cantSplit/>
        </w:trPr>
        <w:tc>
          <w:tcPr>
            <w:tcW w:type="dxa" w:w="835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日期</w:t>
            </w:r>
          </w:p>
        </w:tc>
        <w:tc>
          <w:tcPr>
            <w:tcW w:type="dxa" w:w="1613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来源/编号</w:t>
            </w:r>
          </w:p>
        </w:tc>
        <w:tc>
          <w:tcPr>
            <w:tcW w:type="dxa" w:w="1296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产品/对象</w:t>
            </w:r>
          </w:p>
        </w:tc>
        <w:tc>
          <w:tcPr>
            <w:tcW w:type="dxa" w:w="246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事项</w:t>
            </w:r>
          </w:p>
        </w:tc>
        <w:tc>
          <w:tcPr>
            <w:tcW w:type="dxa" w:w="79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优先级</w:t>
            </w:r>
          </w:p>
        </w:tc>
        <w:tc>
          <w:tcPr>
            <w:tcW w:type="dxa" w:w="2678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本周建议动作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09-28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2026.8568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立陶宛加工动物蛋白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羽毛粉/血粉检出沙门氏菌；企业自检，退回发货人。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高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核对关联供应商及批次，复核热处理、再污染控制与病原放行。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09-29</w:t>
            </w:r>
          </w:p>
        </w:tc>
        <w:tc>
          <w:tcPr>
            <w:tcW w:type="dxa" w:w="1613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2026.8624</w:t>
            </w:r>
          </w:p>
        </w:tc>
        <w:tc>
          <w:tcPr>
            <w:tcW w:type="dxa" w:w="1296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美国宠物食品补充料</w:t>
            </w:r>
          </w:p>
        </w:tc>
        <w:tc>
          <w:tcPr>
            <w:tcW w:type="dxa" w:w="2462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漏做边境兽医检查；已放行并分销罗马尼亚，通知收货人。</w:t>
            </w:r>
          </w:p>
        </w:tc>
        <w:tc>
          <w:tcPr>
            <w:tcW w:type="dxa" w:w="792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中高</w:t>
            </w:r>
          </w:p>
        </w:tc>
        <w:tc>
          <w:tcPr>
            <w:tcW w:type="dxa" w:w="2678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核对证书、申报和边检链条；不能据此推定检出兽药残留。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09-29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2026.8625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德国猫粮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消费者投诉触发；记录 0.5–1 cm 异物，匈牙利通报。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中高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保全投诉样与留样，识别材质、核查设备及批次去向。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09-29</w:t>
            </w:r>
          </w:p>
        </w:tc>
        <w:tc>
          <w:tcPr>
            <w:tcW w:type="dxa" w:w="1613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</w:t>
            </w:r>
            <w:r>
              <w:br/>
              <w:t>2026.8632</w:t>
            </w:r>
          </w:p>
        </w:tc>
        <w:tc>
          <w:tcPr>
            <w:tcW w:type="dxa" w:w="1296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丹麦鱼粉</w:t>
            </w:r>
          </w:p>
        </w:tc>
        <w:tc>
          <w:tcPr>
            <w:tcW w:type="dxa" w:w="2462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检出未获授权的乙氧基喹啉；法国企业自检，退回发货人。</w:t>
            </w:r>
          </w:p>
        </w:tc>
        <w:tc>
          <w:tcPr>
            <w:tcW w:type="dxa" w:w="792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高</w:t>
            </w:r>
          </w:p>
        </w:tc>
        <w:tc>
          <w:tcPr>
            <w:tcW w:type="dxa" w:w="2678"/>
            <w:vAlign w:val="center"/>
            <w:shd w:fill="F2F2F2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核查抗氧化剂使用、供应商配方及目标市场要求，针对性复检。</w:t>
            </w:r>
          </w:p>
        </w:tc>
      </w:tr>
      <w:tr>
        <w:trPr>
          <w:cantSplit/>
        </w:trPr>
        <w:tc>
          <w:tcPr>
            <w:tcW w:type="dxa" w:w="835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10-01</w:t>
            </w:r>
          </w:p>
        </w:tc>
        <w:tc>
          <w:tcPr>
            <w:tcW w:type="dxa" w:w="1613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GMP+</w:t>
            </w:r>
          </w:p>
        </w:tc>
        <w:tc>
          <w:tcPr>
            <w:tcW w:type="dxa" w:w="1296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负责任大豆供应链</w:t>
            </w:r>
          </w:p>
        </w:tc>
        <w:tc>
          <w:tcPr>
            <w:tcW w:type="dxa" w:w="246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B&amp;C 与 MB 模式在 2026 年底后继续认可，适用 MI5.6。</w:t>
            </w:r>
          </w:p>
        </w:tc>
        <w:tc>
          <w:tcPr>
            <w:tcW w:type="dxa" w:w="7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中</w:t>
            </w:r>
          </w:p>
        </w:tc>
        <w:tc>
          <w:tcPr>
            <w:tcW w:type="dxa" w:w="2678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分别维护认证声明依据与实体大豆的适用法规合规证据。</w:t>
            </w:r>
          </w:p>
        </w:tc>
      </w:tr>
    </w:tbl>
    <w:p>
      <w:pPr>
        <w:keepNext w:val="0"/>
        <w:spacing w:before="140" w:after="60" w:line="276" w:lineRule="auto"/>
      </w:pPr>
      <w:r>
        <w:rPr>
          <w:rFonts w:ascii="宋体" w:hAnsi="宋体" w:eastAsia="宋体" w:cs="宋体"/>
          <w:b w:val="0"/>
          <w:sz w:val="18"/>
        </w:rPr>
        <w:t>说明：优先级为本刊管理建议。4 条 RASFF 均为需后续跟进的信息通报，不等于全部产品召回；猫粮异物条目未公开具体处置措施。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三、重点资讯与管理建议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1. RASFF 四类事项要求分别管理病原 异物 添加剂与进口手续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2026.8568 的欧盟验证日为 9 月 28 日；2026.8624、2026.8625、2026.8632 为 9 月 29 日。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立陶宛羽毛粉/血粉加工动物蛋白检出沙门氏菌，芬兰通报并退回发货人；美国宠物食品补充料漏做边境兽医检查，由荷兰通报，货物已分销罗马尼亚。另有德国猫粮异物及丹麦鱼粉乙氧基喹啉事项，分别由匈牙利、法国通报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这组信息对应不同控制失效：病原控制、物理异物、添加剂合规和进口程序。宠物补充料条目的官方危害及检测结果字段为空，不能误写成兽药残留超标；猫粮条目也未披露异物材质或全国性召回。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先把官方编号与采购、代工及客户批次建立关联；有供应链关联时再制定隔离、检测或处置。动物源原料关注热处理和再污染，鱼粉核实抗氧化剂，猫粮调查异物来源，补充料补查边检和流向文件。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S1–S4 欧盟 RASFF 官方通报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2. GMP+ 继续认可负责任大豆两种供应链模式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GMP+ International 于 2026 年 10 月 1 日发布确认。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对 MI5.6 Responsible feed 范围内的认证企业，Book &amp; Claim（B&amp;C）及 Mass Balance（MB）在 2026 年 12 月 31 日之后仍获认可，不会在该日自动终止；该安排与 QS-Soyplus 和 OVOCOM DC-02 保持协调。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企业无需仅因原文字中的年底日期而仓促更换认证采购模式。GMP+ 同时明确，继续认可不改变企业对实体大豆及大豆制品承担的适用 EUDR 法律责任，认证声明与法定尽职调查不能混为一项。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核对自身认证范围、供应链模式及客户合同；保留认证采购和数量平衡资料，另行维护实体货物的来源及适用合规证据。涉及 EUDR 的具体义务和适用时间，按企业身份及最新法律要求复核。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S5 GMP+ International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四、原料研发与中国市场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3. ProFEED 启动欧洲植物蛋白饲料研究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欧委会 CORDIS 项目页列明 2026 年 10 月 1 日启动，2030 年 9 月 30 日结束；这是项目启动节点。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ProFEED 获欧盟资助约 550 万欧元，由利兹大学协调，15 家伙伴来自 8 个国家。研究包括大豆、羽扇豆及苜蓿资源筛选、低影响加工，以及猪、肉鸡、蛋鸡和水产动物饲喂试验；目标包括降低配方对豆粕的依赖。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项目将营养价值、加工和环境绩效放在同一验证链条，提示替代蛋白评价不能只看粗蛋白。减少豆粕依赖最多 30% 是研究目标，不是现成配方承诺，也不是犬猫用途准入或添加剂授权。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研发与采购可建立候选植物蛋白的氨基酸、消化率、抗营养因子、污染物及批次稳定性要求；跟踪后续公开配方和试验结果，完成目标动物与市场适用性验证后再考虑商业替换。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S6 欧委会 CORDIS 项目 101286912</w:t>
      </w:r>
    </w:p>
    <w:p>
      <w:pPr>
        <w:keepNext/>
        <w:spacing w:before="40" w:after="60" w:line="276" w:lineRule="auto"/>
      </w:pPr>
      <w:r>
        <w:rPr>
          <w:rFonts w:ascii="黑体" w:hAnsi="黑体" w:eastAsia="黑体" w:cs="黑体"/>
          <w:b/>
          <w:sz w:val="22"/>
        </w:rPr>
        <w:t>4. 中国豆粕价格上行 原料采购仍需分品种判断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日期依据：</w:t>
      </w:r>
      <w:r>
        <w:rPr>
          <w:rFonts w:ascii="宋体" w:hAnsi="宋体" w:eastAsia="宋体" w:cs="宋体"/>
          <w:b w:val="0"/>
          <w:sz w:val="20"/>
        </w:rPr>
        <w:t>农业农村部畜牧兽医局于 9 月 30 日发布 9 月第 4 周监测，数据采集日为 9 月 24 日；行业行情报道为 9 月 30 日。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发生了什么：</w:t>
      </w:r>
      <w:r>
        <w:rPr>
          <w:rFonts w:ascii="宋体" w:hAnsi="宋体" w:eastAsia="宋体" w:cs="宋体"/>
          <w:b w:val="0"/>
          <w:sz w:val="20"/>
        </w:rPr>
        <w:t>全国玉米均价 2.45 元/公斤，环比持平；豆粕 3.41 元/公斤，环比上涨 0.9%。育肥猪、肉鸡配合饲料均价分别为 3.36、3.49 元/公斤，均持平；蛋鸡配合饲料 3.25 元/公斤，上涨 0.3%。All About Feed 同期报道部分中国赖氨酸供应商尝试提价，而多种维生素仍承受供给压力。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管理判断：</w:t>
      </w:r>
      <w:r>
        <w:rPr>
          <w:rFonts w:ascii="宋体" w:hAnsi="宋体" w:eastAsia="宋体" w:cs="宋体"/>
          <w:b w:val="0"/>
          <w:sz w:val="20"/>
        </w:rPr>
        <w:t>能量、蛋白和微量营养原料的价格方向并不一致。官方全国集贸均价与行业报价观察适用范围不同，均不能直接代替企业到厂价；也不能据此认定全部饲料成本同步上涨。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本周建议：</w:t>
      </w:r>
      <w:r>
        <w:rPr>
          <w:rFonts w:ascii="宋体" w:hAnsi="宋体" w:eastAsia="宋体" w:cs="宋体"/>
          <w:b w:val="0"/>
          <w:sz w:val="20"/>
        </w:rPr>
        <w:t>用实际供应商报价、库存天数及合同交期更新配方成本，分别测算豆粕和氨基酸变动的影响。任何降本替换仍须保持营养约束、原料安全及批次一致性。</w:t>
      </w:r>
    </w:p>
    <w:p>
      <w:pPr>
        <w:spacing w:after="100" w:line="264" w:lineRule="auto"/>
      </w:pPr>
      <w:r>
        <w:rPr>
          <w:rFonts w:ascii="黑体" w:hAnsi="黑体" w:eastAsia="黑体" w:cs="黑体"/>
          <w:b/>
          <w:sz w:val="18"/>
        </w:rPr>
        <w:t>来源：</w:t>
      </w:r>
      <w:r>
        <w:rPr>
          <w:color w:val="0563C1"/>
          <w:u w:val="single"/>
          <w:rFonts w:eastAsia="宋体" w:ascii="宋体" w:hAnsi="宋体" w:cs="宋体"/>
          <w:sz w:val="18"/>
        </w:rPr>
        <w:t>S7 农业农村部畜牧兽医局；S8–S9 All About Feed（行业观察）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五、中国市场补充观察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监管与官方监测：</w:t>
      </w:r>
      <w:r>
        <w:rPr>
          <w:rFonts w:ascii="宋体" w:hAnsi="宋体" w:eastAsia="宋体" w:cs="宋体"/>
          <w:b w:val="0"/>
          <w:sz w:val="20"/>
        </w:rPr>
        <w:t>本期选用农业农村部 9 月 30 日发布的价格信息；采样日为 9 月 24 日，区别于发布日。部分官方栏目访问受限，不据此作出中国监管本周无新增事项的结论。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标准与技术规范：</w:t>
      </w:r>
      <w:r>
        <w:rPr>
          <w:rFonts w:ascii="宋体" w:hAnsi="宋体" w:eastAsia="宋体" w:cs="宋体"/>
          <w:b w:val="0"/>
          <w:sz w:val="20"/>
        </w:rPr>
        <w:t>所核资料尚未形成可入选的当周宠物食品或饲料标准发布事项。人用食品标准、研究目标及企业功能宣称均不直接构成饲料准入依据。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产能与竞争：</w:t>
      </w:r>
      <w:r>
        <w:rPr>
          <w:rFonts w:ascii="宋体" w:hAnsi="宋体" w:eastAsia="宋体" w:cs="宋体"/>
          <w:b w:val="0"/>
          <w:sz w:val="20"/>
        </w:rPr>
        <w:t>威海新闻网 9 月 30 日现场报道贝里家中国工厂的水产原料供应对接，涉及鳕鱼供应出现问题后的本地供应商匹配。文内说明工厂在 8 月已生产，故本期关注供应链配套新披露，不写成当周新投产。（S10）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产品与消费：</w:t>
      </w:r>
      <w:r>
        <w:rPr>
          <w:rFonts w:ascii="宋体" w:hAnsi="宋体" w:eastAsia="宋体" w:cs="宋体"/>
          <w:b w:val="0"/>
          <w:sz w:val="20"/>
        </w:rPr>
        <w:t>江南都市报 9 月 30 日采访江西企业，披露工作犬粮、草本营养和恢复期营养等细分定位。该报道可供研发观察，企业销量、市场份额及功效说法未独立验证；涉及草本及功能宣称应另核原料适用与证据。（S11）</w:t>
      </w:r>
    </w:p>
    <w:p>
      <w:pPr>
        <w:spacing w:after="60" w:line="276" w:lineRule="auto"/>
      </w:pPr>
      <w:r>
        <w:rPr>
          <w:rFonts w:ascii="黑体" w:hAnsi="黑体" w:eastAsia="黑体" w:cs="黑体"/>
          <w:b/>
          <w:sz w:val="20"/>
        </w:rPr>
        <w:t>高关注消费风险：</w:t>
      </w:r>
      <w:r>
        <w:rPr>
          <w:rFonts w:ascii="宋体" w:hAnsi="宋体" w:eastAsia="宋体" w:cs="宋体"/>
          <w:b w:val="0"/>
          <w:sz w:val="20"/>
        </w:rPr>
        <w:t>本期已核材料未形成可列示的中国当周具体产品投诉事件。媒体对功能宣传的行业性讨论，不等于某产品已被监管认定违法或造成伤害。</w:t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六、本周建议启动的管理动作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1. 按 RASFF 编号核对供应链关联，分别落实病原、异物、抗氧化剂和进口边检文件复核。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2. 确认 GMP+ MI5.6 适用范围及客户声明要求，区分认证模式证明与实体大豆的法定合规义务。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3. 跟踪 ProFEED 公开成果，以营养、抗营养因子及安全指标建立替代蛋白评价要求。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4. 按实际报价和库存调整原料成本测算，避免以全国均价或单一行情直接作采购决策。</w:t>
      </w:r>
    </w:p>
    <w:p>
      <w:pPr>
        <w:keepNext w:val="0"/>
        <w:spacing w:before="0" w:after="40" w:line="276" w:lineRule="auto"/>
      </w:pPr>
      <w:r>
        <w:rPr>
          <w:rFonts w:ascii="宋体" w:hAnsi="宋体" w:eastAsia="宋体" w:cs="宋体"/>
          <w:b w:val="0"/>
          <w:sz w:val="20"/>
        </w:rPr>
        <w:t>5. 对新供应商及功能型宠粮先核资格、原料、工艺和宣传证据，区分企业自述、媒体观察与已验证效果。</w:t>
      </w:r>
    </w:p>
    <w:p>
      <w:r>
        <w:br w:type="page"/>
      </w:r>
    </w:p>
    <w:p>
      <w:pPr>
        <w:keepNext/>
        <w:spacing w:before="60" w:after="80" w:line="276" w:lineRule="auto"/>
      </w:pPr>
      <w:r>
        <w:rPr>
          <w:rFonts w:ascii="黑体" w:hAnsi="黑体" w:eastAsia="黑体" w:cs="黑体"/>
          <w:b/>
          <w:sz w:val="30"/>
        </w:rPr>
        <w:t>七、信息来源与使用说明</w:t>
      </w:r>
    </w:p>
    <w:tbl>
      <w:tblPr>
        <w:tblStyle w:val="afb"/>
        <w:tblW w:type="dxa" w:w="8957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4392"/>
        <w:gridCol w:w="1872"/>
        <w:gridCol w:w="1469"/>
      </w:tblGrid>
      <w:tr>
        <w:trPr>
          <w:tblHeader w:val="true"/>
          <w:cantSplit/>
        </w:trPr>
        <w:tc>
          <w:tcPr>
            <w:tcW w:type="dxa" w:w="1224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编号/日期</w:t>
            </w:r>
          </w:p>
        </w:tc>
        <w:tc>
          <w:tcPr>
            <w:tcW w:type="dxa" w:w="439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来源与主题</w:t>
            </w:r>
          </w:p>
        </w:tc>
        <w:tc>
          <w:tcPr>
            <w:tcW w:type="dxa" w:w="1872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性质</w:t>
            </w:r>
          </w:p>
        </w:tc>
        <w:tc>
          <w:tcPr>
            <w:tcW w:type="dxa" w:w="1469"/>
            <w:vAlign w:val="center"/>
            <w:shd w:fill="7F7F7F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/>
            <w:r>
              <w:rPr>
                <w:rFonts w:ascii="黑体" w:hAnsi="黑体" w:eastAsia="黑体" w:cs="黑体"/>
                <w:b/>
                <w:color w:val="FFFFFF"/>
                <w:sz w:val="16"/>
              </w:rPr>
              <w:t>链接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</w:t>
            </w:r>
            <w:r>
              <w:br/>
              <w:t>2026-09-28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2026.8568 加工动物蛋白沙门氏菌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4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S2</w:t>
            </w:r>
            <w:r>
              <w:br/>
              <w:t>2026-09-29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2026.8624 宠物补充料边检遗漏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15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S3</w:t>
            </w:r>
            <w:r>
              <w:br/>
              <w:t>2026-09-29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2026.8625 猫粮异物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16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S4</w:t>
            </w:r>
            <w:r>
              <w:br/>
              <w:t>2026-09-29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RASFF 2026.8632 鱼粉乙氧基喹啉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欧盟官方通报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1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S5</w:t>
            </w:r>
            <w:r>
              <w:br/>
              <w:t>2026-10-01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GMP+ 负责任大豆 B&amp;C / MB 认可继续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认证机构说明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2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S6</w:t>
            </w:r>
            <w:r>
              <w:br/>
              <w:t>2026-10-01启动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ProFEED 植物蛋白饲料项目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欧委会项目资料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23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S7</w:t>
            </w:r>
            <w:r>
              <w:br/>
              <w:t>2026-09-30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9月第4周畜产品和饲料市场价格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中国官方监测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1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S8</w:t>
            </w:r>
            <w:r>
              <w:br/>
              <w:t>2026-09-30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氨基酸节前供需与价格观察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专业媒体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2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S9</w:t>
            </w:r>
            <w:r>
              <w:br/>
              <w:t>2026-09-30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维生素市场供给与价格观察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专业媒体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3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S10</w:t>
            </w:r>
            <w:r>
              <w:br/>
              <w:t>2026-09-30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威海贝里家原料供应链现场报道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地方媒体采访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4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  <w:jc w:val="center"/>
            </w:pPr>
            <w:r>
              <w:t>S11</w:t>
            </w:r>
            <w:r>
              <w:br/>
              <w:t>2026-09-30</w:t>
            </w:r>
          </w:p>
        </w:tc>
        <w:tc>
          <w:tcPr>
            <w:tcW w:type="dxa" w:w="439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江西宠物粮差异化发展采访</w:t>
            </w:r>
          </w:p>
        </w:tc>
        <w:tc>
          <w:tcPr>
            <w:tcW w:type="dxa" w:w="1872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7" w:lineRule="auto"/>
            </w:pPr>
            <w:r>
              <w:t>地方媒体采访</w:t>
            </w:r>
          </w:p>
        </w:tc>
        <w:tc>
          <w:tcPr>
            <w:tcW w:type="dxa" w:w="1469"/>
            <w:vAlign w:val="center"/>
            <w:tcMar>
              <w:top w:w="75" w:type="dxa"/>
              <w:start w:w="75" w:type="dxa"/>
              <w:bottom w:w="75" w:type="dxa"/>
              <w:end w:w="75" w:type="dxa"/>
            </w:tcMar>
          </w:tcPr>
          <w:p>
            <w:pPr>
              <w:spacing w:after="0" w:line="240" w:lineRule="auto"/>
              <w:jc w:val="center"/>
            </w:pPr>
            <w:r/>
            <w:hyperlink r:id="rId35">
              <w:r>
                <w:rPr>
                  <w:color w:val="0563C1"/>
                  <w:u w:val="single"/>
                  <w:rFonts w:eastAsia="宋体" w:ascii="宋体" w:hAnsi="宋体" w:cs="宋体"/>
                  <w:sz w:val="15"/>
                </w:rPr>
                <w:t>打开来源</w:t>
              </w:r>
            </w:hyperlink>
          </w:p>
        </w:tc>
      </w:tr>
    </w:tbl>
    <w:p>
      <w:pPr>
        <w:keepNext w:val="0"/>
        <w:spacing w:before="140" w:after="60" w:line="276" w:lineRule="auto"/>
      </w:pPr>
      <w:r>
        <w:rPr>
          <w:rFonts w:ascii="宋体" w:hAnsi="宋体" w:eastAsia="宋体" w:cs="宋体"/>
          <w:b w:val="0"/>
          <w:sz w:val="19"/>
        </w:rPr>
        <w:t>覆盖说明：卫健委两个定向栏目、欧盟公报等部分入口本期访问受限；RASFF资料截至10月2日16:30，距本期19:00截止存在更新缺口。已列事项基于取得的原始材料，受限不代表没有新增信息。
使用说明：本刊供企业质量、研发、供应链与合规决策参考。通报处置应先确认具体批次关联；研究与媒体信息不等同于产品批准、功效确认或采购建议。</w:t>
      </w:r>
    </w:p>
    <w:p>
      <w:pPr>
        <w:keepNext w:val="0"/>
        <w:spacing w:before="120" w:after="60" w:line="276" w:lineRule="auto"/>
        <w:jc w:val="center"/>
      </w:pPr>
      <w:r>
        <w:rPr>
          <w:rFonts w:ascii="宋体" w:hAnsi="宋体" w:eastAsia="宋体" w:cs="宋体"/>
          <w:b w:val="0"/>
          <w:sz w:val="18"/>
        </w:rPr>
        <w:t>----------------------------------------结束----------------------------------------</w:t>
      </w:r>
    </w:p>
    <w:sectPr w:rsidR="00C95045" w:rsidRPr="00694756" w:rsidSect="00A203B4">
      <w:headerReference w:type="default" r:id="rId17"/>
      <w:footerReference w:type="default" r:id="rId18"/>
      <w:pgSz w:w="11906" w:h="16838"/>
      <w:pgMar w:top="936" w:right="1080" w:bottom="93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EA966" w14:textId="77777777" w:rsidR="007B3093" w:rsidRDefault="007B3093" w:rsidP="00A9502E">
      <w:pPr>
        <w:spacing w:before="0"/>
      </w:pPr>
      <w:r>
        <w:separator/>
      </w:r>
    </w:p>
  </w:endnote>
  <w:endnote w:type="continuationSeparator" w:id="0">
    <w:p w14:paraId="10C1EC84" w14:textId="77777777" w:rsidR="007B3093" w:rsidRDefault="007B3093" w:rsidP="00A9502E">
      <w:pPr>
        <w:spacing w:before="0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Symbol">
    <w:charset w:val="00"/>
  </w:font>
  <w:font w:name="Wingdings">
    <w:charset w:val="00"/>
  </w:font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07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9988E" w14:textId="51DB7573" w:rsidR="00B34DFF" w:rsidRDefault="00B34DF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558783" w14:textId="77777777" w:rsidR="00B34DFF" w:rsidRDefault="00B34DF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B3983" w14:textId="77777777" w:rsidR="007B3093" w:rsidRDefault="007B3093" w:rsidP="00A9502E">
      <w:pPr>
        <w:spacing w:before="0"/>
      </w:pPr>
      <w:r>
        <w:separator/>
      </w:r>
    </w:p>
  </w:footnote>
  <w:footnote w:type="continuationSeparator" w:id="0">
    <w:p w14:paraId="29DFC4E0" w14:textId="77777777" w:rsidR="007B3093" w:rsidRDefault="007B3093" w:rsidP="00A9502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1F8F5" w14:textId="599A2B6D" w:rsidR="00A9502E" w:rsidRDefault="00A9502E">
    <w:pPr>
      <w:pStyle w:val="af9"/>
    </w:pPr>
    <w:r w:rsidRPr="00A9502E">
      <w:rPr>
        <w:noProof/>
      </w:rPr>
      <w:drawing>
        <wp:inline distT="0" distB="0" distL="0" distR="0" wp14:anchorId="2B18C46E" wp14:editId="15BAD590">
          <wp:extent cx="1880436" cy="885825"/>
          <wp:effectExtent l="0" t="0" r="5715" b="0"/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85775F0B-6334-2F46-9B7D-AA2C76DF64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85775F0B-6334-2F46-9B7D-AA2C76DF64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81" cy="888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864576" w14:textId="77777777" w:rsidR="00A9502E" w:rsidRDefault="00A9502E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1AB1"/>
    <w:multiLevelType w:val="hybridMultilevel"/>
    <w:tmpl w:val="921E20BA"/>
    <w:lvl w:ilvl="0" w:tplc="147C37AE">
      <w:start w:val="2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6CC7A47"/>
    <w:multiLevelType w:val="hybridMultilevel"/>
    <w:tmpl w:val="46021D8E"/>
    <w:lvl w:ilvl="0" w:tplc="DE5870DC">
      <w:start w:val="3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9292059"/>
    <w:multiLevelType w:val="hybridMultilevel"/>
    <w:tmpl w:val="B7525452"/>
    <w:lvl w:ilvl="0" w:tplc="528EA63C">
      <w:start w:val="1"/>
      <w:numFmt w:val="decimal"/>
      <w:lvlText w:val="%1."/>
      <w:lvlJc w:val="left"/>
      <w:pPr>
        <w:ind w:left="360" w:hanging="360"/>
      </w:pPr>
      <w:rPr>
        <w:rFonts w:hint="default" w:ascii="黑体" w:hAnsi="黑体" w:eastAsia="黑体" w:cs="黑体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D9842BE"/>
    <w:multiLevelType w:val="hybridMultilevel"/>
    <w:tmpl w:val="8352426C"/>
    <w:lvl w:ilvl="0" w:tplc="5E58E630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76E794B"/>
    <w:multiLevelType w:val="hybridMultilevel"/>
    <w:tmpl w:val="11BCB492"/>
    <w:lvl w:ilvl="0" w:tplc="6B08A12E">
      <w:start w:val="8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0CD0E09"/>
    <w:multiLevelType w:val="hybridMultilevel"/>
    <w:tmpl w:val="2E6A0BB6"/>
    <w:lvl w:ilvl="0" w:tplc="AB8C9454">
      <w:start w:val="1"/>
      <w:numFmt w:val="decimal"/>
      <w:pStyle w:val="Numbered1"/>
      <w:lvlText w:val="%1."/>
      <w:lvlJc w:val="left"/>
      <w:pPr>
        <w:ind w:left="1080" w:hanging="360"/>
      </w:pPr>
      <w:rPr>
        <w:rFonts w:hint="default" w:ascii="宋体" w:hAnsi="宋体" w:eastAsia="宋体" w:cs="宋体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4B6843"/>
    <w:multiLevelType w:val="multilevel"/>
    <w:tmpl w:val="9BB01E42"/>
    <w:lvl w:ilvl="0">
      <w:start w:val="1"/>
      <w:numFmt w:val="decimal"/>
      <w:pStyle w:val="1"/>
      <w:lvlText w:val="%1"/>
      <w:lvlJc w:val="left"/>
      <w:pPr>
        <w:ind w:left="578" w:hanging="578"/>
      </w:pPr>
      <w:rPr>
        <w:rFonts w:hint="default" w:ascii="宋体" w:hAnsi="宋体" w:eastAsia="宋体" w:cs="宋体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 w:ascii="宋体" w:hAnsi="宋体" w:eastAsia="宋体" w:cs="宋体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 w:ascii="宋体" w:hAnsi="宋体" w:eastAsia="宋体" w:cs="宋体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 w:ascii="宋体" w:hAnsi="宋体" w:eastAsia="宋体" w:cs="宋体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 w:ascii="宋体" w:hAnsi="宋体" w:eastAsia="宋体" w:cs="宋体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 w:ascii="宋体" w:hAnsi="宋体" w:eastAsia="宋体" w:cs="宋体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 w:ascii="宋体" w:hAnsi="宋体" w:eastAsia="宋体" w:cs="宋体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 w:ascii="宋体" w:hAnsi="宋体" w:eastAsia="宋体" w:cs="宋体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 w:ascii="宋体" w:hAnsi="宋体" w:eastAsia="宋体" w:cs="宋体"/>
      </w:rPr>
    </w:lvl>
  </w:abstractNum>
  <w:abstractNum w:abstractNumId="7" w15:restartNumberingAfterBreak="0">
    <w:nsid w:val="25376C5A"/>
    <w:multiLevelType w:val="hybridMultilevel"/>
    <w:tmpl w:val="DF647C0E"/>
    <w:lvl w:ilvl="0" w:tplc="9AB82920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F3F39FE"/>
    <w:multiLevelType w:val="hybridMultilevel"/>
    <w:tmpl w:val="1D8035DC"/>
    <w:lvl w:ilvl="0" w:tplc="FE7458D4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3294A5A"/>
    <w:multiLevelType w:val="hybridMultilevel"/>
    <w:tmpl w:val="D6F86318"/>
    <w:lvl w:ilvl="0" w:tplc="0504ED22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D1724F7"/>
    <w:multiLevelType w:val="hybridMultilevel"/>
    <w:tmpl w:val="38B25A2C"/>
    <w:lvl w:ilvl="0" w:tplc="6CFA0F4C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11E3A15"/>
    <w:multiLevelType w:val="hybridMultilevel"/>
    <w:tmpl w:val="94FE716C"/>
    <w:lvl w:ilvl="0" w:tplc="BB3A3018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A4A1DC9"/>
    <w:multiLevelType w:val="hybridMultilevel"/>
    <w:tmpl w:val="22F47766"/>
    <w:lvl w:ilvl="0" w:tplc="19B48822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F175213"/>
    <w:multiLevelType w:val="multilevel"/>
    <w:tmpl w:val="100C001D"/>
    <w:styleLink w:val="SGS"/>
    <w:lvl w:ilvl="0">
      <w:start w:val="1"/>
      <w:numFmt w:val="bullet"/>
      <w:lvlText w:val="■"/>
      <w:lvlJc w:val="left"/>
      <w:pPr>
        <w:ind w:left="360" w:hanging="360"/>
      </w:pPr>
      <w:rPr>
        <w:rFonts w:ascii="宋体" w:hAnsi="宋体" w:hint="default" w:eastAsia="宋体" w:cs="宋体"/>
        <w:color w:val="FF9900"/>
      </w:rPr>
    </w:lvl>
    <w:lvl w:ilvl="1">
      <w:start w:val="1"/>
      <w:numFmt w:val="bullet"/>
      <w:lvlText w:val="■"/>
      <w:lvlJc w:val="left"/>
      <w:pPr>
        <w:ind w:left="720" w:hanging="360"/>
      </w:pPr>
      <w:rPr>
        <w:rFonts w:ascii="宋体" w:hAnsi="宋体" w:hint="default" w:eastAsia="宋体" w:cs="宋体"/>
        <w:color w:val="FF9900"/>
        <w:sz w:val="16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宋体" w:hAnsi="宋体" w:hint="default" w:eastAsia="宋体" w:cs="宋体"/>
        <w:color w:val="000000" w:themeColor="text1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宋体" w:hAnsi="宋体" w:hint="default" w:eastAsia="宋体" w:cs="宋体"/>
        <w:color w:val="000000" w:themeColor="text1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宋体" w:hAnsi="宋体" w:hint="default" w:eastAsia="宋体" w:cs="宋体"/>
        <w:color w:val="00000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10C4F32"/>
    <w:multiLevelType w:val="hybridMultilevel"/>
    <w:tmpl w:val="84508CAC"/>
    <w:lvl w:ilvl="0" w:tplc="D5FE2826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638C5117"/>
    <w:multiLevelType w:val="multilevel"/>
    <w:tmpl w:val="100C001D"/>
    <w:styleLink w:val="Style1"/>
    <w:lvl w:ilvl="0">
      <w:start w:val="1"/>
      <w:numFmt w:val="bullet"/>
      <w:lvlText w:val="■"/>
      <w:lvlJc w:val="left"/>
      <w:pPr>
        <w:ind w:left="360" w:hanging="360"/>
      </w:pPr>
      <w:rPr>
        <w:rFonts w:ascii="宋体" w:hAnsi="宋体" w:hint="default" w:eastAsia="宋体" w:cs="宋体"/>
        <w:color w:val="FF9900"/>
      </w:rPr>
    </w:lvl>
    <w:lvl w:ilvl="1">
      <w:start w:val="1"/>
      <w:numFmt w:val="bullet"/>
      <w:lvlText w:val="■"/>
      <w:lvlJc w:val="left"/>
      <w:pPr>
        <w:ind w:left="720" w:hanging="360"/>
      </w:pPr>
      <w:rPr>
        <w:rFonts w:ascii="宋体" w:hAnsi="宋体" w:hint="default" w:eastAsia="宋体" w:cs="宋体"/>
        <w:color w:val="FF9900"/>
        <w:sz w:val="16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宋体" w:hAnsi="宋体" w:hint="default" w:eastAsia="宋体" w:cs="宋体"/>
        <w:color w:val="000000" w:themeColor="text1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宋体" w:hAnsi="宋体" w:hint="default" w:eastAsia="宋体" w:cs="宋体"/>
        <w:color w:val="000000" w:themeColor="text1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宋体" w:hAnsi="宋体" w:hint="default" w:eastAsia="宋体" w:cs="宋体"/>
        <w:color w:val="00000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27002F"/>
    <w:multiLevelType w:val="hybridMultilevel"/>
    <w:tmpl w:val="82C666C2"/>
    <w:lvl w:ilvl="0" w:tplc="4A143A22">
      <w:start w:val="2"/>
      <w:numFmt w:val="decimal"/>
      <w:lvlText w:val="%1"/>
      <w:lvlJc w:val="left"/>
      <w:pPr>
        <w:ind w:left="72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E195A"/>
    <w:multiLevelType w:val="hybridMultilevel"/>
    <w:tmpl w:val="3356B02C"/>
    <w:lvl w:ilvl="0" w:tplc="50F8C110">
      <w:start w:val="5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0D15105"/>
    <w:multiLevelType w:val="hybridMultilevel"/>
    <w:tmpl w:val="79F64A5A"/>
    <w:lvl w:ilvl="0" w:tplc="D5FA7D64">
      <w:start w:val="1"/>
      <w:numFmt w:val="bullet"/>
      <w:pStyle w:val="List1"/>
      <w:lvlText w:val=""/>
      <w:lvlJc w:val="left"/>
      <w:pPr>
        <w:ind w:left="720" w:hanging="360"/>
      </w:pPr>
      <w:rPr>
        <w:rFonts w:ascii="Symbol" w:hAnsi="Symbol" w:hint="default" w:eastAsia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宋体" w:hAnsi="宋体" w:cs="宋体" w:hint="default" w:eastAsia="宋体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 w:eastAsia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 w:eastAsia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宋体" w:hAnsi="宋体" w:cs="宋体" w:hint="default" w:eastAsia="宋体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 w:eastAsia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 w:eastAsia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宋体" w:hAnsi="宋体" w:cs="宋体" w:hint="default" w:eastAsia="宋体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 w:eastAsia="Wingdings" w:cs="Wingdings"/>
      </w:rPr>
    </w:lvl>
  </w:abstractNum>
  <w:abstractNum w:abstractNumId="19" w15:restartNumberingAfterBreak="0">
    <w:nsid w:val="76167438"/>
    <w:multiLevelType w:val="hybridMultilevel"/>
    <w:tmpl w:val="13D400FE"/>
    <w:lvl w:ilvl="0" w:tplc="C6E8660A">
      <w:start w:val="3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77D85D9B"/>
    <w:multiLevelType w:val="hybridMultilevel"/>
    <w:tmpl w:val="6826FB3C"/>
    <w:lvl w:ilvl="0" w:tplc="65781C92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79144477"/>
    <w:multiLevelType w:val="hybridMultilevel"/>
    <w:tmpl w:val="6CEC001C"/>
    <w:lvl w:ilvl="0" w:tplc="BACEED9E">
      <w:start w:val="4"/>
      <w:numFmt w:val="decimal"/>
      <w:lvlText w:val="%1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62343580">
    <w:abstractNumId w:val="6"/>
  </w:num>
  <w:num w:numId="2" w16cid:durableId="2062556140">
    <w:abstractNumId w:val="18"/>
  </w:num>
  <w:num w:numId="3" w16cid:durableId="720207222">
    <w:abstractNumId w:val="5"/>
  </w:num>
  <w:num w:numId="4" w16cid:durableId="624040483">
    <w:abstractNumId w:val="15"/>
  </w:num>
  <w:num w:numId="5" w16cid:durableId="1367104030">
    <w:abstractNumId w:val="13"/>
  </w:num>
  <w:num w:numId="6" w16cid:durableId="1558011995">
    <w:abstractNumId w:val="5"/>
  </w:num>
  <w:num w:numId="7" w16cid:durableId="1477408203">
    <w:abstractNumId w:val="18"/>
  </w:num>
  <w:num w:numId="8" w16cid:durableId="1869486266">
    <w:abstractNumId w:val="6"/>
  </w:num>
  <w:num w:numId="9" w16cid:durableId="332882075">
    <w:abstractNumId w:val="6"/>
  </w:num>
  <w:num w:numId="10" w16cid:durableId="541752175">
    <w:abstractNumId w:val="6"/>
  </w:num>
  <w:num w:numId="11" w16cid:durableId="59602614">
    <w:abstractNumId w:val="6"/>
  </w:num>
  <w:num w:numId="12" w16cid:durableId="1738360202">
    <w:abstractNumId w:val="6"/>
  </w:num>
  <w:num w:numId="13" w16cid:durableId="1886453761">
    <w:abstractNumId w:val="6"/>
  </w:num>
  <w:num w:numId="14" w16cid:durableId="1813478220">
    <w:abstractNumId w:val="6"/>
  </w:num>
  <w:num w:numId="15" w16cid:durableId="1392078643">
    <w:abstractNumId w:val="6"/>
  </w:num>
  <w:num w:numId="16" w16cid:durableId="85620886">
    <w:abstractNumId w:val="6"/>
  </w:num>
  <w:num w:numId="17" w16cid:durableId="292178531">
    <w:abstractNumId w:val="6"/>
  </w:num>
  <w:num w:numId="18" w16cid:durableId="547960984">
    <w:abstractNumId w:val="18"/>
  </w:num>
  <w:num w:numId="19" w16cid:durableId="262153012">
    <w:abstractNumId w:val="5"/>
  </w:num>
  <w:num w:numId="20" w16cid:durableId="198930355">
    <w:abstractNumId w:val="6"/>
  </w:num>
  <w:num w:numId="21" w16cid:durableId="2107114912">
    <w:abstractNumId w:val="15"/>
  </w:num>
  <w:num w:numId="22" w16cid:durableId="2131387687">
    <w:abstractNumId w:val="13"/>
  </w:num>
  <w:num w:numId="23" w16cid:durableId="617223694">
    <w:abstractNumId w:val="6"/>
  </w:num>
  <w:num w:numId="24" w16cid:durableId="308174482">
    <w:abstractNumId w:val="11"/>
  </w:num>
  <w:num w:numId="25" w16cid:durableId="1829781595">
    <w:abstractNumId w:val="4"/>
  </w:num>
  <w:num w:numId="26" w16cid:durableId="2021006674">
    <w:abstractNumId w:val="12"/>
  </w:num>
  <w:num w:numId="27" w16cid:durableId="955986422">
    <w:abstractNumId w:val="14"/>
  </w:num>
  <w:num w:numId="28" w16cid:durableId="429206661">
    <w:abstractNumId w:val="17"/>
  </w:num>
  <w:num w:numId="29" w16cid:durableId="1451507811">
    <w:abstractNumId w:val="7"/>
  </w:num>
  <w:num w:numId="30" w16cid:durableId="1811554898">
    <w:abstractNumId w:val="1"/>
  </w:num>
  <w:num w:numId="31" w16cid:durableId="789667805">
    <w:abstractNumId w:val="19"/>
  </w:num>
  <w:num w:numId="32" w16cid:durableId="931353020">
    <w:abstractNumId w:val="6"/>
  </w:num>
  <w:num w:numId="33" w16cid:durableId="1117529531">
    <w:abstractNumId w:val="6"/>
  </w:num>
  <w:num w:numId="34" w16cid:durableId="150172186">
    <w:abstractNumId w:val="6"/>
  </w:num>
  <w:num w:numId="35" w16cid:durableId="2052875427">
    <w:abstractNumId w:val="6"/>
  </w:num>
  <w:num w:numId="36" w16cid:durableId="195625374">
    <w:abstractNumId w:val="6"/>
  </w:num>
  <w:num w:numId="37" w16cid:durableId="2134783426">
    <w:abstractNumId w:val="0"/>
  </w:num>
  <w:num w:numId="38" w16cid:durableId="1803503662">
    <w:abstractNumId w:val="6"/>
  </w:num>
  <w:num w:numId="39" w16cid:durableId="641812255">
    <w:abstractNumId w:val="10"/>
  </w:num>
  <w:num w:numId="40" w16cid:durableId="1249341533">
    <w:abstractNumId w:val="9"/>
  </w:num>
  <w:num w:numId="41" w16cid:durableId="1900240095">
    <w:abstractNumId w:val="20"/>
  </w:num>
  <w:num w:numId="42" w16cid:durableId="1827277005">
    <w:abstractNumId w:val="21"/>
  </w:num>
  <w:num w:numId="43" w16cid:durableId="1036351446">
    <w:abstractNumId w:val="3"/>
  </w:num>
  <w:num w:numId="44" w16cid:durableId="1474062415">
    <w:abstractNumId w:val="8"/>
  </w:num>
  <w:num w:numId="45" w16cid:durableId="17701299">
    <w:abstractNumId w:val="16"/>
  </w:num>
  <w:num w:numId="46" w16cid:durableId="319504811">
    <w:abstractNumId w:val="6"/>
  </w:num>
  <w:num w:numId="47" w16cid:durableId="333266917">
    <w:abstractNumId w:val="6"/>
  </w:num>
  <w:num w:numId="48" w16cid:durableId="175211997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9F"/>
    <w:rsid w:val="0001524D"/>
    <w:rsid w:val="0005001B"/>
    <w:rsid w:val="00051572"/>
    <w:rsid w:val="000551F0"/>
    <w:rsid w:val="00063B07"/>
    <w:rsid w:val="000723E1"/>
    <w:rsid w:val="00072972"/>
    <w:rsid w:val="000732FD"/>
    <w:rsid w:val="00075016"/>
    <w:rsid w:val="00080335"/>
    <w:rsid w:val="00086974"/>
    <w:rsid w:val="000944A8"/>
    <w:rsid w:val="0009785F"/>
    <w:rsid w:val="000B0FED"/>
    <w:rsid w:val="000B2B7F"/>
    <w:rsid w:val="000B4456"/>
    <w:rsid w:val="000B50AA"/>
    <w:rsid w:val="000B5B1E"/>
    <w:rsid w:val="000B5F22"/>
    <w:rsid w:val="000C4601"/>
    <w:rsid w:val="000D4E4F"/>
    <w:rsid w:val="001000FA"/>
    <w:rsid w:val="00124F98"/>
    <w:rsid w:val="001404F4"/>
    <w:rsid w:val="00146D57"/>
    <w:rsid w:val="00155265"/>
    <w:rsid w:val="0017011F"/>
    <w:rsid w:val="00174F75"/>
    <w:rsid w:val="00175800"/>
    <w:rsid w:val="0019769E"/>
    <w:rsid w:val="001B0020"/>
    <w:rsid w:val="001B03D9"/>
    <w:rsid w:val="001B189F"/>
    <w:rsid w:val="001B6633"/>
    <w:rsid w:val="001B702B"/>
    <w:rsid w:val="001B7436"/>
    <w:rsid w:val="001C685E"/>
    <w:rsid w:val="001D0B06"/>
    <w:rsid w:val="001D49ED"/>
    <w:rsid w:val="001E3D3B"/>
    <w:rsid w:val="00205687"/>
    <w:rsid w:val="00206087"/>
    <w:rsid w:val="00216EC5"/>
    <w:rsid w:val="00223E52"/>
    <w:rsid w:val="00226ED0"/>
    <w:rsid w:val="00233BF0"/>
    <w:rsid w:val="00237DAE"/>
    <w:rsid w:val="00241F99"/>
    <w:rsid w:val="00242237"/>
    <w:rsid w:val="00256A14"/>
    <w:rsid w:val="00267266"/>
    <w:rsid w:val="00274058"/>
    <w:rsid w:val="00276085"/>
    <w:rsid w:val="002874F5"/>
    <w:rsid w:val="00291BE2"/>
    <w:rsid w:val="002A66F6"/>
    <w:rsid w:val="002A6E6E"/>
    <w:rsid w:val="002C0321"/>
    <w:rsid w:val="002C2F8E"/>
    <w:rsid w:val="002C6BB9"/>
    <w:rsid w:val="002D6D5B"/>
    <w:rsid w:val="002E0A86"/>
    <w:rsid w:val="00307AF3"/>
    <w:rsid w:val="003108BB"/>
    <w:rsid w:val="003133DC"/>
    <w:rsid w:val="0032700C"/>
    <w:rsid w:val="0033744B"/>
    <w:rsid w:val="00347880"/>
    <w:rsid w:val="00356A35"/>
    <w:rsid w:val="00362537"/>
    <w:rsid w:val="00366301"/>
    <w:rsid w:val="003870CE"/>
    <w:rsid w:val="00392802"/>
    <w:rsid w:val="00396417"/>
    <w:rsid w:val="003D383C"/>
    <w:rsid w:val="003E236B"/>
    <w:rsid w:val="003E4636"/>
    <w:rsid w:val="003F1603"/>
    <w:rsid w:val="003F5070"/>
    <w:rsid w:val="0040190E"/>
    <w:rsid w:val="0040795B"/>
    <w:rsid w:val="004107E1"/>
    <w:rsid w:val="004131DE"/>
    <w:rsid w:val="00414E5D"/>
    <w:rsid w:val="00421688"/>
    <w:rsid w:val="00437072"/>
    <w:rsid w:val="00437399"/>
    <w:rsid w:val="004408A2"/>
    <w:rsid w:val="004449B6"/>
    <w:rsid w:val="004504A4"/>
    <w:rsid w:val="00464CCD"/>
    <w:rsid w:val="00473D8E"/>
    <w:rsid w:val="00474F6D"/>
    <w:rsid w:val="00491008"/>
    <w:rsid w:val="004A7626"/>
    <w:rsid w:val="004B7A3A"/>
    <w:rsid w:val="004C40AF"/>
    <w:rsid w:val="004D4292"/>
    <w:rsid w:val="004E2C22"/>
    <w:rsid w:val="004F045E"/>
    <w:rsid w:val="004F14A2"/>
    <w:rsid w:val="00500259"/>
    <w:rsid w:val="0050261E"/>
    <w:rsid w:val="00513219"/>
    <w:rsid w:val="0051487F"/>
    <w:rsid w:val="00520378"/>
    <w:rsid w:val="00523446"/>
    <w:rsid w:val="00533155"/>
    <w:rsid w:val="005368E3"/>
    <w:rsid w:val="0056178F"/>
    <w:rsid w:val="005666AB"/>
    <w:rsid w:val="00567FE1"/>
    <w:rsid w:val="00577692"/>
    <w:rsid w:val="00587723"/>
    <w:rsid w:val="0059162E"/>
    <w:rsid w:val="005958A2"/>
    <w:rsid w:val="005A60A7"/>
    <w:rsid w:val="005B0BB7"/>
    <w:rsid w:val="005C105C"/>
    <w:rsid w:val="005C5B5D"/>
    <w:rsid w:val="005D50D1"/>
    <w:rsid w:val="005D7FA0"/>
    <w:rsid w:val="005F0704"/>
    <w:rsid w:val="005F56BF"/>
    <w:rsid w:val="00607EA5"/>
    <w:rsid w:val="006108C0"/>
    <w:rsid w:val="006319E2"/>
    <w:rsid w:val="00642B0C"/>
    <w:rsid w:val="00651DFA"/>
    <w:rsid w:val="00671B99"/>
    <w:rsid w:val="00675BF6"/>
    <w:rsid w:val="00677767"/>
    <w:rsid w:val="00692D7D"/>
    <w:rsid w:val="00694756"/>
    <w:rsid w:val="006B382B"/>
    <w:rsid w:val="006B5D43"/>
    <w:rsid w:val="006C3F59"/>
    <w:rsid w:val="006D555B"/>
    <w:rsid w:val="006E20EC"/>
    <w:rsid w:val="006F0E5A"/>
    <w:rsid w:val="00700C3D"/>
    <w:rsid w:val="007027FC"/>
    <w:rsid w:val="007047B5"/>
    <w:rsid w:val="007064E9"/>
    <w:rsid w:val="00722DC1"/>
    <w:rsid w:val="00727447"/>
    <w:rsid w:val="007329E5"/>
    <w:rsid w:val="0073564A"/>
    <w:rsid w:val="00742BA6"/>
    <w:rsid w:val="00753525"/>
    <w:rsid w:val="007608F3"/>
    <w:rsid w:val="00761864"/>
    <w:rsid w:val="007651A9"/>
    <w:rsid w:val="00771B86"/>
    <w:rsid w:val="00781BFD"/>
    <w:rsid w:val="0078330F"/>
    <w:rsid w:val="00784215"/>
    <w:rsid w:val="00796B72"/>
    <w:rsid w:val="007A5782"/>
    <w:rsid w:val="007A71F3"/>
    <w:rsid w:val="007A7759"/>
    <w:rsid w:val="007B3093"/>
    <w:rsid w:val="007B6F35"/>
    <w:rsid w:val="007C22EC"/>
    <w:rsid w:val="007D4FB0"/>
    <w:rsid w:val="007D5879"/>
    <w:rsid w:val="007D5C5A"/>
    <w:rsid w:val="007E35A4"/>
    <w:rsid w:val="007F159A"/>
    <w:rsid w:val="007F40E0"/>
    <w:rsid w:val="0081311A"/>
    <w:rsid w:val="0081368A"/>
    <w:rsid w:val="00820DE8"/>
    <w:rsid w:val="00823EFC"/>
    <w:rsid w:val="0082528E"/>
    <w:rsid w:val="00837F04"/>
    <w:rsid w:val="00841C84"/>
    <w:rsid w:val="00857A30"/>
    <w:rsid w:val="008722C9"/>
    <w:rsid w:val="008822D1"/>
    <w:rsid w:val="00883640"/>
    <w:rsid w:val="008940F8"/>
    <w:rsid w:val="008A16E4"/>
    <w:rsid w:val="008A4C9E"/>
    <w:rsid w:val="008C0E63"/>
    <w:rsid w:val="008D0EB8"/>
    <w:rsid w:val="008D1150"/>
    <w:rsid w:val="00901E69"/>
    <w:rsid w:val="009054FC"/>
    <w:rsid w:val="00906082"/>
    <w:rsid w:val="009157DF"/>
    <w:rsid w:val="00917681"/>
    <w:rsid w:val="00924507"/>
    <w:rsid w:val="00934D61"/>
    <w:rsid w:val="00947615"/>
    <w:rsid w:val="00960FEB"/>
    <w:rsid w:val="00974500"/>
    <w:rsid w:val="009772B3"/>
    <w:rsid w:val="00981971"/>
    <w:rsid w:val="00983820"/>
    <w:rsid w:val="00986573"/>
    <w:rsid w:val="00987E28"/>
    <w:rsid w:val="009A6D8E"/>
    <w:rsid w:val="009A75A5"/>
    <w:rsid w:val="009B2ACF"/>
    <w:rsid w:val="009B3D99"/>
    <w:rsid w:val="009B4E71"/>
    <w:rsid w:val="009C49B5"/>
    <w:rsid w:val="009C6EDF"/>
    <w:rsid w:val="009C7993"/>
    <w:rsid w:val="009C7BD8"/>
    <w:rsid w:val="009D2393"/>
    <w:rsid w:val="009D3951"/>
    <w:rsid w:val="009E5DC0"/>
    <w:rsid w:val="009E6DE7"/>
    <w:rsid w:val="009F386F"/>
    <w:rsid w:val="009F4A7D"/>
    <w:rsid w:val="00A13E9F"/>
    <w:rsid w:val="00A1453A"/>
    <w:rsid w:val="00A154BE"/>
    <w:rsid w:val="00A203B4"/>
    <w:rsid w:val="00A252D0"/>
    <w:rsid w:val="00A25AE2"/>
    <w:rsid w:val="00A25C83"/>
    <w:rsid w:val="00A326B6"/>
    <w:rsid w:val="00A36FA5"/>
    <w:rsid w:val="00A402D9"/>
    <w:rsid w:val="00A43B7D"/>
    <w:rsid w:val="00A56416"/>
    <w:rsid w:val="00A67582"/>
    <w:rsid w:val="00A9502E"/>
    <w:rsid w:val="00AB1178"/>
    <w:rsid w:val="00AB3B45"/>
    <w:rsid w:val="00AB684D"/>
    <w:rsid w:val="00AC22BB"/>
    <w:rsid w:val="00AE37DF"/>
    <w:rsid w:val="00AE5B9A"/>
    <w:rsid w:val="00AE71BA"/>
    <w:rsid w:val="00B05D00"/>
    <w:rsid w:val="00B11E98"/>
    <w:rsid w:val="00B201E3"/>
    <w:rsid w:val="00B208C7"/>
    <w:rsid w:val="00B34DFF"/>
    <w:rsid w:val="00B36452"/>
    <w:rsid w:val="00B403C5"/>
    <w:rsid w:val="00B40C4D"/>
    <w:rsid w:val="00B468B7"/>
    <w:rsid w:val="00B4696C"/>
    <w:rsid w:val="00B60A2C"/>
    <w:rsid w:val="00B63048"/>
    <w:rsid w:val="00B657B6"/>
    <w:rsid w:val="00B81FD7"/>
    <w:rsid w:val="00B865E8"/>
    <w:rsid w:val="00B903C3"/>
    <w:rsid w:val="00B9287D"/>
    <w:rsid w:val="00B95C7B"/>
    <w:rsid w:val="00BB5FC9"/>
    <w:rsid w:val="00BC686C"/>
    <w:rsid w:val="00BE21A1"/>
    <w:rsid w:val="00BF7273"/>
    <w:rsid w:val="00C060A3"/>
    <w:rsid w:val="00C101E4"/>
    <w:rsid w:val="00C174A5"/>
    <w:rsid w:val="00C17C10"/>
    <w:rsid w:val="00C26065"/>
    <w:rsid w:val="00C4049A"/>
    <w:rsid w:val="00C460E8"/>
    <w:rsid w:val="00C557FB"/>
    <w:rsid w:val="00C5651B"/>
    <w:rsid w:val="00C57D61"/>
    <w:rsid w:val="00C72CF6"/>
    <w:rsid w:val="00C774F1"/>
    <w:rsid w:val="00C8150C"/>
    <w:rsid w:val="00C91D6E"/>
    <w:rsid w:val="00C95045"/>
    <w:rsid w:val="00CA2053"/>
    <w:rsid w:val="00CB67F2"/>
    <w:rsid w:val="00CD1ED8"/>
    <w:rsid w:val="00CD4ED3"/>
    <w:rsid w:val="00CD518D"/>
    <w:rsid w:val="00CE72B0"/>
    <w:rsid w:val="00CF0145"/>
    <w:rsid w:val="00CF0D56"/>
    <w:rsid w:val="00CF34C0"/>
    <w:rsid w:val="00D14A10"/>
    <w:rsid w:val="00D2744C"/>
    <w:rsid w:val="00D305B5"/>
    <w:rsid w:val="00D40467"/>
    <w:rsid w:val="00D46E54"/>
    <w:rsid w:val="00D531B5"/>
    <w:rsid w:val="00D67EE3"/>
    <w:rsid w:val="00D724D2"/>
    <w:rsid w:val="00D756B4"/>
    <w:rsid w:val="00D81DCA"/>
    <w:rsid w:val="00D93292"/>
    <w:rsid w:val="00D93CE4"/>
    <w:rsid w:val="00DA1E0F"/>
    <w:rsid w:val="00DA5AB0"/>
    <w:rsid w:val="00DB343A"/>
    <w:rsid w:val="00DB6449"/>
    <w:rsid w:val="00DC553D"/>
    <w:rsid w:val="00DD01FE"/>
    <w:rsid w:val="00DD15EB"/>
    <w:rsid w:val="00DF4307"/>
    <w:rsid w:val="00E00C8B"/>
    <w:rsid w:val="00E14A99"/>
    <w:rsid w:val="00E224AA"/>
    <w:rsid w:val="00E225A4"/>
    <w:rsid w:val="00E269F5"/>
    <w:rsid w:val="00E275AD"/>
    <w:rsid w:val="00E31893"/>
    <w:rsid w:val="00E46A0C"/>
    <w:rsid w:val="00E549AD"/>
    <w:rsid w:val="00E65166"/>
    <w:rsid w:val="00E77D4B"/>
    <w:rsid w:val="00E82E31"/>
    <w:rsid w:val="00E85C06"/>
    <w:rsid w:val="00EA28BE"/>
    <w:rsid w:val="00EA5B9F"/>
    <w:rsid w:val="00EB7065"/>
    <w:rsid w:val="00EC0772"/>
    <w:rsid w:val="00ED0730"/>
    <w:rsid w:val="00ED3B66"/>
    <w:rsid w:val="00ED6AAB"/>
    <w:rsid w:val="00EE20EB"/>
    <w:rsid w:val="00EE417A"/>
    <w:rsid w:val="00EE784A"/>
    <w:rsid w:val="00EF2EA4"/>
    <w:rsid w:val="00EF5714"/>
    <w:rsid w:val="00EF6D2E"/>
    <w:rsid w:val="00EF75F3"/>
    <w:rsid w:val="00F0162F"/>
    <w:rsid w:val="00F04B2F"/>
    <w:rsid w:val="00F14771"/>
    <w:rsid w:val="00F22C80"/>
    <w:rsid w:val="00F30A01"/>
    <w:rsid w:val="00F42356"/>
    <w:rsid w:val="00F507A6"/>
    <w:rsid w:val="00F57112"/>
    <w:rsid w:val="00F673EB"/>
    <w:rsid w:val="00F73806"/>
    <w:rsid w:val="00F7474D"/>
    <w:rsid w:val="00F75313"/>
    <w:rsid w:val="00F75EA8"/>
    <w:rsid w:val="00F81EAD"/>
    <w:rsid w:val="00F93CA7"/>
    <w:rsid w:val="00F93DE9"/>
    <w:rsid w:val="00FA32C1"/>
    <w:rsid w:val="00FA5983"/>
    <w:rsid w:val="00FA5B27"/>
    <w:rsid w:val="00FC2961"/>
    <w:rsid w:val="00FC34F9"/>
    <w:rsid w:val="00FC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FEF77E"/>
  <w15:chartTrackingRefBased/>
  <w15:docId w15:val="{C3E6729A-3B69-4FD5-8010-3C93F2FE79A4}"/>
  <w:updateFields w:val="true"/>
  <w:hideSpellingErrors w:val="true"/>
  <w:hideGrammaticalErrors w:val="true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hAnsi="宋体" w:cstheme="majorBidi" w:eastAsia="宋体" w:cs="宋体"/>
        <w:lang w:val="en-GB" w:eastAsia="zh-CN" w:bidi="ar-SA"/>
      </w:rPr>
    </w:rPrDefault>
    <w:pPrDefault>
      <w:pPr>
        <w:spacing w:before="120"/>
        <w:ind w:left="709" w:hanging="709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2CF6"/>
    <w:pPr>
      <w:ind w:left="0" w:firstLine="0"/>
    </w:pPr>
    <w:rPr>
      <w:rFonts w:cs="宋体" w:ascii="宋体" w:hAnsi="宋体" w:eastAsia="宋体"/>
      <w:color w:val="222222"/>
      <w:sz w:val="21"/>
      <w:szCs w:val="24"/>
      <w:lang w:eastAsia="fr-FR"/>
    </w:rPr>
  </w:style>
  <w:style w:type="paragraph" w:styleId="1">
    <w:name w:val="heading 1"/>
    <w:basedOn w:val="a"/>
    <w:next w:val="a"/>
    <w:link w:val="10"/>
    <w:uiPriority w:val="9"/>
    <w:qFormat/>
    <w:rsid w:val="00B403C5"/>
    <w:pPr>
      <w:keepNext/>
      <w:numPr>
        <w:numId w:val="23"/>
      </w:numPr>
      <w:spacing w:before="360" w:after="120"/>
      <w:outlineLvl w:val="0"/>
    </w:pPr>
    <w:rPr>
      <w:rFonts w:cs="黑体" w:ascii="黑体" w:hAnsi="黑体" w:eastAsia="黑体"/>
      <w:b/>
      <w:caps/>
      <w:color w:val="FF6600"/>
      <w:spacing w:val="20"/>
    </w:rPr>
  </w:style>
  <w:style w:type="paragraph" w:styleId="2">
    <w:name w:val="heading 2"/>
    <w:basedOn w:val="a"/>
    <w:next w:val="a"/>
    <w:link w:val="20"/>
    <w:uiPriority w:val="9"/>
    <w:qFormat/>
    <w:rsid w:val="00B403C5"/>
    <w:pPr>
      <w:numPr>
        <w:ilvl w:val="1"/>
        <w:numId w:val="23"/>
      </w:numPr>
      <w:pBdr>
        <w:bottom w:val="single" w:sz="4" w:space="1" w:color="FF6600"/>
      </w:pBdr>
      <w:spacing w:before="240"/>
      <w:outlineLvl w:val="1"/>
    </w:pPr>
    <w:rPr>
      <w:rFonts w:cs="黑体" w:ascii="黑体" w:hAnsi="黑体" w:eastAsia="黑体"/>
      <w:b/>
      <w:iCs/>
      <w:smallCaps/>
      <w:color w:val="363636"/>
      <w:spacing w:val="15"/>
      <w:kern w:val="32"/>
      <w:sz w:val="22"/>
    </w:rPr>
  </w:style>
  <w:style w:type="paragraph" w:styleId="3">
    <w:name w:val="heading 3"/>
    <w:basedOn w:val="a"/>
    <w:next w:val="a"/>
    <w:link w:val="30"/>
    <w:uiPriority w:val="9"/>
    <w:qFormat/>
    <w:rsid w:val="00B403C5"/>
    <w:pPr>
      <w:keepNext/>
      <w:numPr>
        <w:ilvl w:val="2"/>
        <w:numId w:val="23"/>
      </w:numPr>
      <w:spacing w:before="240" w:after="60"/>
      <w:outlineLvl w:val="2"/>
    </w:pPr>
    <w:rPr>
      <w:rFonts w:cs="黑体" w:ascii="黑体" w:hAnsi="黑体" w:eastAsia="黑体"/>
      <w:b/>
      <w:bCs/>
      <w:smallCaps/>
      <w:color w:val="FF6600"/>
    </w:rPr>
  </w:style>
  <w:style w:type="paragraph" w:styleId="4">
    <w:name w:val="heading 4"/>
    <w:basedOn w:val="a"/>
    <w:next w:val="a"/>
    <w:link w:val="40"/>
    <w:uiPriority w:val="9"/>
    <w:qFormat/>
    <w:rsid w:val="00B403C5"/>
    <w:pPr>
      <w:keepNext/>
      <w:numPr>
        <w:ilvl w:val="3"/>
        <w:numId w:val="23"/>
      </w:numPr>
      <w:outlineLvl w:val="3"/>
    </w:pPr>
    <w:rPr>
      <w:rFonts w:cstheme="majorBidi" w:ascii="宋体" w:hAnsi="宋体" w:eastAsia="宋体" w:cs="宋体"/>
      <w:bCs/>
      <w:sz w:val="18"/>
      <w:szCs w:val="28"/>
      <w:lang w:eastAsia="en-US" w:bidi="en-US"/>
    </w:rPr>
  </w:style>
  <w:style w:type="paragraph" w:styleId="5">
    <w:name w:val="heading 5"/>
    <w:basedOn w:val="a"/>
    <w:next w:val="a"/>
    <w:link w:val="50"/>
    <w:uiPriority w:val="9"/>
    <w:qFormat/>
    <w:rsid w:val="00B403C5"/>
    <w:pPr>
      <w:keepNext/>
      <w:keepLines/>
      <w:numPr>
        <w:ilvl w:val="4"/>
        <w:numId w:val="23"/>
      </w:numPr>
      <w:outlineLvl w:val="4"/>
    </w:pPr>
    <w:rPr>
      <w:sz w:val="18"/>
      <w:szCs w:val="22"/>
    </w:rPr>
  </w:style>
  <w:style w:type="paragraph" w:styleId="6">
    <w:name w:val="heading 6"/>
    <w:basedOn w:val="a"/>
    <w:next w:val="a"/>
    <w:link w:val="60"/>
    <w:uiPriority w:val="9"/>
    <w:qFormat/>
    <w:rsid w:val="00B403C5"/>
    <w:pPr>
      <w:numPr>
        <w:ilvl w:val="5"/>
        <w:numId w:val="23"/>
      </w:numPr>
      <w:spacing w:before="240" w:after="60"/>
      <w:outlineLvl w:val="5"/>
    </w:pPr>
    <w:rPr>
      <w:bCs/>
      <w:sz w:val="18"/>
    </w:rPr>
  </w:style>
  <w:style w:type="paragraph" w:styleId="7">
    <w:name w:val="heading 7"/>
    <w:basedOn w:val="a"/>
    <w:next w:val="a"/>
    <w:link w:val="70"/>
    <w:uiPriority w:val="9"/>
    <w:qFormat/>
    <w:rsid w:val="00B403C5"/>
    <w:pPr>
      <w:numPr>
        <w:ilvl w:val="6"/>
        <w:numId w:val="23"/>
      </w:numPr>
      <w:spacing w:before="240" w:after="60"/>
      <w:outlineLvl w:val="6"/>
    </w:pPr>
    <w:rPr>
      <w:sz w:val="18"/>
    </w:rPr>
  </w:style>
  <w:style w:type="paragraph" w:styleId="8">
    <w:name w:val="heading 8"/>
    <w:basedOn w:val="a"/>
    <w:next w:val="a"/>
    <w:link w:val="80"/>
    <w:uiPriority w:val="9"/>
    <w:qFormat/>
    <w:rsid w:val="00B403C5"/>
    <w:pPr>
      <w:numPr>
        <w:ilvl w:val="7"/>
        <w:numId w:val="23"/>
      </w:numPr>
      <w:spacing w:before="240" w:after="60"/>
      <w:outlineLvl w:val="7"/>
    </w:pPr>
    <w:rPr>
      <w:iCs/>
      <w:sz w:val="18"/>
    </w:rPr>
  </w:style>
  <w:style w:type="paragraph" w:styleId="9">
    <w:name w:val="heading 9"/>
    <w:basedOn w:val="a"/>
    <w:next w:val="a"/>
    <w:link w:val="90"/>
    <w:uiPriority w:val="9"/>
    <w:qFormat/>
    <w:rsid w:val="00B403C5"/>
    <w:pPr>
      <w:numPr>
        <w:ilvl w:val="8"/>
        <w:numId w:val="23"/>
      </w:numPr>
      <w:spacing w:before="240" w:after="60"/>
      <w:outlineLvl w:val="8"/>
    </w:pPr>
    <w:rPr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03C5"/>
    <w:rPr>
      <w:rFonts w:cs="黑体" w:ascii="黑体" w:hAnsi="黑体" w:eastAsia="黑体"/>
      <w:b/>
      <w:caps/>
      <w:color w:val="FF6600"/>
      <w:spacing w:val="20"/>
      <w:szCs w:val="24"/>
      <w:lang w:eastAsia="fr-FR"/>
    </w:rPr>
  </w:style>
  <w:style w:type="character" w:customStyle="1" w:styleId="20">
    <w:name w:val="标题 2 字符"/>
    <w:basedOn w:val="a0"/>
    <w:link w:val="2"/>
    <w:uiPriority w:val="9"/>
    <w:rsid w:val="00051572"/>
    <w:rPr>
      <w:rFonts w:cs="黑体" w:ascii="黑体" w:hAnsi="黑体" w:eastAsia="黑体"/>
      <w:b/>
      <w:iCs/>
      <w:smallCaps/>
      <w:color w:val="363636"/>
      <w:spacing w:val="15"/>
      <w:kern w:val="32"/>
      <w:sz w:val="22"/>
      <w:szCs w:val="24"/>
      <w:lang w:eastAsia="fr-FR"/>
    </w:rPr>
  </w:style>
  <w:style w:type="character" w:customStyle="1" w:styleId="30">
    <w:name w:val="标题 3 字符"/>
    <w:basedOn w:val="a0"/>
    <w:link w:val="3"/>
    <w:uiPriority w:val="9"/>
    <w:rsid w:val="00051572"/>
    <w:rPr>
      <w:rFonts w:cs="黑体" w:ascii="黑体" w:hAnsi="黑体" w:eastAsia="黑体"/>
      <w:b/>
      <w:bCs/>
      <w:smallCaps/>
      <w:color w:val="FF6600"/>
      <w:szCs w:val="24"/>
      <w:lang w:eastAsia="fr-FR"/>
    </w:rPr>
  </w:style>
  <w:style w:type="character" w:customStyle="1" w:styleId="40">
    <w:name w:val="标题 4 字符"/>
    <w:basedOn w:val="a0"/>
    <w:link w:val="4"/>
    <w:uiPriority w:val="9"/>
    <w:rsid w:val="00051572"/>
    <w:rPr>
      <w:rFonts w:ascii="宋体" w:hAnsi="宋体" w:eastAsia="宋体" w:cs="宋体"/>
      <w:bCs/>
      <w:sz w:val="18"/>
      <w:szCs w:val="28"/>
      <w:lang w:bidi="en-US"/>
    </w:rPr>
  </w:style>
  <w:style w:type="character" w:customStyle="1" w:styleId="50">
    <w:name w:val="标题 5 字符"/>
    <w:basedOn w:val="a0"/>
    <w:link w:val="5"/>
    <w:uiPriority w:val="9"/>
    <w:rsid w:val="00051572"/>
    <w:rPr>
      <w:rFonts w:cs="宋体" w:ascii="宋体" w:hAnsi="宋体" w:eastAsia="宋体"/>
      <w:sz w:val="18"/>
      <w:szCs w:val="22"/>
      <w:lang w:eastAsia="fr-FR"/>
    </w:rPr>
  </w:style>
  <w:style w:type="character" w:customStyle="1" w:styleId="60">
    <w:name w:val="标题 6 字符"/>
    <w:basedOn w:val="a0"/>
    <w:link w:val="6"/>
    <w:uiPriority w:val="9"/>
    <w:rsid w:val="00051572"/>
    <w:rPr>
      <w:rFonts w:cs="宋体" w:ascii="宋体" w:hAnsi="宋体" w:eastAsia="宋体"/>
      <w:bCs/>
      <w:sz w:val="18"/>
      <w:szCs w:val="24"/>
      <w:lang w:eastAsia="fr-FR"/>
    </w:rPr>
  </w:style>
  <w:style w:type="character" w:customStyle="1" w:styleId="70">
    <w:name w:val="标题 7 字符"/>
    <w:basedOn w:val="a0"/>
    <w:link w:val="7"/>
    <w:uiPriority w:val="9"/>
    <w:rsid w:val="00051572"/>
    <w:rPr>
      <w:rFonts w:cs="宋体" w:ascii="宋体" w:hAnsi="宋体" w:eastAsia="宋体"/>
      <w:sz w:val="18"/>
      <w:szCs w:val="24"/>
      <w:lang w:eastAsia="fr-FR"/>
    </w:rPr>
  </w:style>
  <w:style w:type="character" w:customStyle="1" w:styleId="80">
    <w:name w:val="标题 8 字符"/>
    <w:basedOn w:val="a0"/>
    <w:link w:val="8"/>
    <w:uiPriority w:val="9"/>
    <w:rsid w:val="00051572"/>
    <w:rPr>
      <w:rFonts w:cs="宋体" w:ascii="宋体" w:hAnsi="宋体" w:eastAsia="宋体"/>
      <w:iCs/>
      <w:sz w:val="18"/>
      <w:szCs w:val="24"/>
      <w:lang w:eastAsia="fr-FR"/>
    </w:rPr>
  </w:style>
  <w:style w:type="character" w:customStyle="1" w:styleId="90">
    <w:name w:val="标题 9 字符"/>
    <w:basedOn w:val="a0"/>
    <w:link w:val="9"/>
    <w:uiPriority w:val="9"/>
    <w:rsid w:val="00051572"/>
    <w:rPr>
      <w:rFonts w:cs="宋体" w:ascii="宋体" w:hAnsi="宋体" w:eastAsia="宋体"/>
      <w:sz w:val="18"/>
      <w:szCs w:val="24"/>
      <w:lang w:eastAsia="fr-FR"/>
    </w:rPr>
  </w:style>
  <w:style w:type="paragraph" w:styleId="a3">
    <w:name w:val="footer"/>
    <w:basedOn w:val="a"/>
    <w:link w:val="a4"/>
    <w:uiPriority w:val="99"/>
    <w:qFormat/>
    <w:rsid w:val="00051572"/>
    <w:pPr>
      <w:tabs>
        <w:tab w:val="center" w:pos="4513"/>
        <w:tab w:val="right" w:pos="9026"/>
      </w:tabs>
    </w:pPr>
    <w:rPr>
      <w:rFonts w:cstheme="majorBidi" w:ascii="宋体" w:hAnsi="宋体" w:eastAsia="宋体" w:cs="宋体"/>
      <w:sz w:val="16"/>
      <w:szCs w:val="20"/>
      <w:lang w:eastAsia="en-US" w:bidi="en-US"/>
    </w:rPr>
  </w:style>
  <w:style w:type="character" w:customStyle="1" w:styleId="a4">
    <w:name w:val="页脚 字符"/>
    <w:basedOn w:val="a0"/>
    <w:link w:val="a3"/>
    <w:uiPriority w:val="99"/>
    <w:rsid w:val="00051572"/>
    <w:rPr>
      <w:rFonts w:ascii="宋体" w:hAnsi="宋体" w:eastAsia="宋体" w:cs="宋体"/>
      <w:sz w:val="16"/>
      <w:lang w:bidi="en-US"/>
    </w:rPr>
  </w:style>
  <w:style w:type="paragraph" w:styleId="a5">
    <w:name w:val="Title"/>
    <w:basedOn w:val="a"/>
    <w:next w:val="a"/>
    <w:link w:val="a6"/>
    <w:uiPriority w:val="10"/>
    <w:qFormat/>
    <w:rsid w:val="00051572"/>
    <w:pPr>
      <w:spacing w:before="240" w:after="60"/>
      <w:jc w:val="center"/>
      <w:outlineLvl w:val="0"/>
    </w:pPr>
    <w:rPr>
      <w:rFonts w:cstheme="majorBidi" w:ascii="黑体" w:hAnsi="黑体" w:eastAsia="黑体" w:cs="黑体"/>
      <w:b/>
      <w:bCs/>
      <w:kern w:val="28"/>
      <w:szCs w:val="32"/>
      <w:u w:val="single"/>
      <w:lang w:eastAsia="en-US" w:bidi="en-US"/>
    </w:rPr>
  </w:style>
  <w:style w:type="character" w:customStyle="1" w:styleId="a6">
    <w:name w:val="标题 字符"/>
    <w:basedOn w:val="a0"/>
    <w:link w:val="a5"/>
    <w:uiPriority w:val="10"/>
    <w:rsid w:val="00051572"/>
    <w:rPr>
      <w:rFonts w:ascii="黑体" w:hAnsi="黑体" w:eastAsia="黑体" w:cs="黑体"/>
      <w:b/>
      <w:bCs/>
      <w:kern w:val="28"/>
      <w:szCs w:val="32"/>
      <w:u w:val="single"/>
      <w:lang w:bidi="en-US"/>
    </w:rPr>
  </w:style>
  <w:style w:type="paragraph" w:styleId="a7">
    <w:name w:val="Subtitle"/>
    <w:basedOn w:val="a"/>
    <w:next w:val="a"/>
    <w:link w:val="a8"/>
    <w:uiPriority w:val="11"/>
    <w:qFormat/>
    <w:rsid w:val="00051572"/>
    <w:pPr>
      <w:spacing w:after="60"/>
      <w:jc w:val="center"/>
      <w:outlineLvl w:val="1"/>
    </w:pPr>
    <w:rPr>
      <w:rFonts w:cstheme="majorBidi" w:ascii="宋体" w:hAnsi="宋体" w:eastAsia="宋体" w:cs="宋体"/>
      <w:szCs w:val="20"/>
      <w:lang w:eastAsia="en-US" w:bidi="en-US"/>
    </w:rPr>
  </w:style>
  <w:style w:type="character" w:customStyle="1" w:styleId="a8">
    <w:name w:val="副标题 字符"/>
    <w:basedOn w:val="a0"/>
    <w:link w:val="a7"/>
    <w:uiPriority w:val="11"/>
    <w:rsid w:val="00051572"/>
    <w:rPr>
      <w:rFonts w:ascii="宋体" w:hAnsi="宋体" w:eastAsia="宋体" w:cs="宋体"/>
      <w:lang w:bidi="en-US"/>
    </w:rPr>
  </w:style>
  <w:style w:type="character" w:styleId="a9">
    <w:name w:val="Hyperlink"/>
    <w:basedOn w:val="a0"/>
    <w:uiPriority w:val="99"/>
    <w:qFormat/>
    <w:rsid w:val="00051572"/>
    <w:rPr>
      <w:rFonts w:ascii="宋体" w:hAnsi="宋体" w:eastAsia="宋体" w:cs="宋体"/>
      <w:color w:val="FF6600"/>
      <w:sz w:val="20"/>
      <w:u w:val="single"/>
    </w:rPr>
  </w:style>
  <w:style w:type="character" w:styleId="aa">
    <w:name w:val="FollowedHyperlink"/>
    <w:basedOn w:val="a0"/>
    <w:uiPriority w:val="99"/>
    <w:qFormat/>
    <w:rsid w:val="00051572"/>
    <w:rPr>
      <w:rFonts w:ascii="宋体" w:hAnsi="宋体" w:eastAsia="宋体" w:cs="宋体"/>
      <w:i/>
      <w:color w:val="363636"/>
      <w:sz w:val="20"/>
      <w:u w:val="single"/>
    </w:rPr>
  </w:style>
  <w:style w:type="character" w:styleId="ab">
    <w:name w:val="Strong"/>
    <w:basedOn w:val="a0"/>
    <w:uiPriority w:val="22"/>
    <w:qFormat/>
    <w:rsid w:val="00051572"/>
    <w:rPr>
      <w:b/>
      <w:bCs/>
    </w:rPr>
  </w:style>
  <w:style w:type="character" w:styleId="ac">
    <w:name w:val="Emphasis"/>
    <w:basedOn w:val="a0"/>
    <w:uiPriority w:val="20"/>
    <w:qFormat/>
    <w:rsid w:val="00051572"/>
    <w:rPr>
      <w:rFonts w:ascii="黑体" w:hAnsi="黑体" w:eastAsia="黑体" w:cs="黑体"/>
      <w:b/>
      <w:i/>
      <w:iCs/>
    </w:rPr>
  </w:style>
  <w:style w:type="paragraph" w:styleId="ad">
    <w:name w:val="No Spacing"/>
    <w:basedOn w:val="a"/>
    <w:link w:val="ae"/>
    <w:uiPriority w:val="1"/>
    <w:qFormat/>
    <w:rsid w:val="00051572"/>
    <w:rPr>
      <w:rFonts w:cstheme="majorBidi" w:ascii="宋体" w:hAnsi="宋体" w:eastAsia="宋体" w:cs="宋体"/>
      <w:szCs w:val="32"/>
      <w:lang w:eastAsia="en-US" w:bidi="en-US"/>
    </w:rPr>
  </w:style>
  <w:style w:type="character" w:customStyle="1" w:styleId="ae">
    <w:name w:val="无间隔 字符"/>
    <w:basedOn w:val="a0"/>
    <w:link w:val="ad"/>
    <w:uiPriority w:val="1"/>
    <w:rsid w:val="00051572"/>
    <w:rPr>
      <w:rFonts w:ascii="宋体" w:hAnsi="宋体" w:eastAsia="宋体" w:cs="宋体"/>
      <w:szCs w:val="32"/>
      <w:lang w:bidi="en-US"/>
    </w:rPr>
  </w:style>
  <w:style w:type="paragraph" w:styleId="af">
    <w:name w:val="List Paragraph"/>
    <w:basedOn w:val="a"/>
    <w:uiPriority w:val="34"/>
    <w:qFormat/>
    <w:rsid w:val="00051572"/>
    <w:pPr>
      <w:ind w:left="720"/>
      <w:contextualSpacing/>
    </w:pPr>
  </w:style>
  <w:style w:type="paragraph" w:styleId="af0">
    <w:name w:val="Quote"/>
    <w:basedOn w:val="a"/>
    <w:next w:val="a"/>
    <w:link w:val="af1"/>
    <w:uiPriority w:val="29"/>
    <w:qFormat/>
    <w:rsid w:val="00051572"/>
    <w:rPr>
      <w:rFonts w:cstheme="majorBidi" w:ascii="宋体" w:hAnsi="宋体" w:eastAsia="宋体" w:cs="宋体"/>
      <w:i/>
      <w:szCs w:val="20"/>
      <w:lang w:eastAsia="en-US" w:bidi="en-US"/>
    </w:rPr>
  </w:style>
  <w:style w:type="character" w:customStyle="1" w:styleId="af1">
    <w:name w:val="引用 字符"/>
    <w:basedOn w:val="a0"/>
    <w:link w:val="af0"/>
    <w:uiPriority w:val="29"/>
    <w:rsid w:val="00051572"/>
    <w:rPr>
      <w:rFonts w:ascii="宋体" w:hAnsi="宋体" w:eastAsia="宋体" w:cs="宋体"/>
      <w:i/>
      <w:lang w:bidi="en-US"/>
    </w:rPr>
  </w:style>
  <w:style w:type="paragraph" w:styleId="af2">
    <w:name w:val="Intense Quote"/>
    <w:basedOn w:val="a"/>
    <w:next w:val="a"/>
    <w:link w:val="af3"/>
    <w:uiPriority w:val="30"/>
    <w:qFormat/>
    <w:rsid w:val="00051572"/>
    <w:pPr>
      <w:ind w:left="720" w:right="720"/>
    </w:pPr>
    <w:rPr>
      <w:rFonts w:cstheme="majorBidi" w:ascii="黑体" w:hAnsi="黑体" w:eastAsia="黑体" w:cs="黑体"/>
      <w:b/>
      <w:i/>
      <w:szCs w:val="20"/>
      <w:lang w:eastAsia="en-US" w:bidi="en-US"/>
    </w:rPr>
  </w:style>
  <w:style w:type="character" w:customStyle="1" w:styleId="af3">
    <w:name w:val="明显引用 字符"/>
    <w:basedOn w:val="a0"/>
    <w:link w:val="af2"/>
    <w:uiPriority w:val="30"/>
    <w:rsid w:val="00051572"/>
    <w:rPr>
      <w:rFonts w:ascii="黑体" w:hAnsi="黑体" w:eastAsia="黑体" w:cs="黑体"/>
      <w:b/>
      <w:i/>
      <w:lang w:bidi="en-US"/>
    </w:rPr>
  </w:style>
  <w:style w:type="character" w:styleId="af4">
    <w:name w:val="Subtle Emphasis"/>
    <w:uiPriority w:val="19"/>
    <w:qFormat/>
    <w:rsid w:val="00051572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051572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051572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051572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051572"/>
    <w:rPr>
      <w:rFonts w:ascii="黑体" w:hAnsi="黑体" w:eastAsia="黑体" w:cs="黑体"/>
      <w:b/>
      <w:i/>
      <w:sz w:val="24"/>
      <w:szCs w:val="24"/>
    </w:rPr>
  </w:style>
  <w:style w:type="paragraph" w:styleId="TOC">
    <w:name w:val="TOC Heading"/>
    <w:basedOn w:val="1"/>
    <w:next w:val="a"/>
    <w:uiPriority w:val="39"/>
    <w:qFormat/>
    <w:rsid w:val="00051572"/>
    <w:pPr>
      <w:numPr>
        <w:numId w:val="0"/>
      </w:numPr>
      <w:outlineLvl w:val="9"/>
    </w:pPr>
  </w:style>
  <w:style w:type="paragraph" w:customStyle="1" w:styleId="List1">
    <w:name w:val="List 1"/>
    <w:basedOn w:val="a"/>
    <w:link w:val="List1Char"/>
    <w:uiPriority w:val="99"/>
    <w:qFormat/>
    <w:rsid w:val="00051572"/>
    <w:pPr>
      <w:numPr>
        <w:numId w:val="18"/>
      </w:numPr>
      <w:spacing w:before="60"/>
    </w:pPr>
    <w:rPr>
      <w:rFonts w:cstheme="majorBidi" w:ascii="宋体" w:hAnsi="宋体" w:eastAsia="宋体" w:cs="宋体"/>
      <w:szCs w:val="20"/>
      <w:lang w:eastAsia="en-US" w:bidi="en-US"/>
    </w:rPr>
  </w:style>
  <w:style w:type="character" w:customStyle="1" w:styleId="List1Char">
    <w:name w:val="List 1 Char"/>
    <w:basedOn w:val="a0"/>
    <w:link w:val="List1"/>
    <w:uiPriority w:val="99"/>
    <w:rsid w:val="00051572"/>
    <w:rPr>
      <w:rFonts w:ascii="宋体" w:hAnsi="宋体" w:eastAsia="宋体" w:cs="宋体"/>
      <w:lang w:bidi="en-US"/>
    </w:rPr>
  </w:style>
  <w:style w:type="paragraph" w:customStyle="1" w:styleId="Highlight">
    <w:name w:val="Highlight"/>
    <w:basedOn w:val="a"/>
    <w:uiPriority w:val="99"/>
    <w:qFormat/>
    <w:rsid w:val="00051572"/>
    <w:rPr>
      <w:color w:val="BF0000" w:themeColor="accent6" w:themeShade="BF"/>
    </w:rPr>
  </w:style>
  <w:style w:type="paragraph" w:customStyle="1" w:styleId="Numbered1">
    <w:name w:val="Numbered 1"/>
    <w:basedOn w:val="a"/>
    <w:rsid w:val="00051572"/>
    <w:pPr>
      <w:numPr>
        <w:numId w:val="19"/>
      </w:numPr>
      <w:spacing w:before="60"/>
    </w:pPr>
  </w:style>
  <w:style w:type="paragraph" w:customStyle="1" w:styleId="List2">
    <w:name w:val="List2"/>
    <w:basedOn w:val="List1"/>
    <w:uiPriority w:val="99"/>
    <w:qFormat/>
    <w:rsid w:val="00051572"/>
    <w:pPr>
      <w:numPr>
        <w:numId w:val="0"/>
      </w:numPr>
      <w:spacing w:before="0"/>
    </w:pPr>
    <w:rPr>
      <w:szCs w:val="24"/>
      <w:lang w:val="fr-FR" w:eastAsia="fr-FR" w:bidi="ar-SA"/>
    </w:rPr>
  </w:style>
  <w:style w:type="paragraph" w:customStyle="1" w:styleId="StyleHeading5Firstline0cm">
    <w:name w:val="Style Heading 5 + First line:  0 cm"/>
    <w:basedOn w:val="5"/>
    <w:qFormat/>
    <w:rsid w:val="00051572"/>
    <w:pPr>
      <w:numPr>
        <w:ilvl w:val="0"/>
        <w:numId w:val="0"/>
      </w:numPr>
    </w:pPr>
    <w:rPr>
      <w:color w:val="363636"/>
      <w:szCs w:val="24"/>
      <w:u w:val="single"/>
    </w:rPr>
  </w:style>
  <w:style w:type="paragraph" w:customStyle="1" w:styleId="Glossary">
    <w:name w:val="Glossary"/>
    <w:basedOn w:val="a"/>
    <w:link w:val="GlossaryChar"/>
    <w:uiPriority w:val="99"/>
    <w:qFormat/>
    <w:rsid w:val="00051572"/>
    <w:pPr>
      <w:spacing w:before="40"/>
    </w:pPr>
    <w:rPr>
      <w:rFonts w:cstheme="majorBidi" w:ascii="宋体" w:hAnsi="宋体" w:eastAsia="宋体" w:cs="宋体"/>
      <w:sz w:val="16"/>
      <w:szCs w:val="16"/>
      <w:lang w:eastAsia="en-GB"/>
    </w:rPr>
  </w:style>
  <w:style w:type="character" w:customStyle="1" w:styleId="GlossaryChar">
    <w:name w:val="Glossary Char"/>
    <w:basedOn w:val="a0"/>
    <w:link w:val="Glossary"/>
    <w:uiPriority w:val="99"/>
    <w:rsid w:val="00051572"/>
    <w:rPr>
      <w:sz w:val="16"/>
      <w:szCs w:val="16"/>
      <w:lang w:eastAsia="en-GB"/>
    </w:rPr>
  </w:style>
  <w:style w:type="numbering" w:customStyle="1" w:styleId="Style1">
    <w:name w:val="Style1"/>
    <w:uiPriority w:val="99"/>
    <w:rsid w:val="00051572"/>
    <w:pPr>
      <w:numPr>
        <w:numId w:val="4"/>
      </w:numPr>
    </w:pPr>
  </w:style>
  <w:style w:type="paragraph" w:styleId="af9">
    <w:name w:val="header"/>
    <w:basedOn w:val="a"/>
    <w:link w:val="afa"/>
    <w:autoRedefine/>
    <w:uiPriority w:val="99"/>
    <w:rsid w:val="00051572"/>
    <w:pPr>
      <w:tabs>
        <w:tab w:val="center" w:pos="4536"/>
        <w:tab w:val="right" w:pos="9072"/>
      </w:tabs>
    </w:pPr>
  </w:style>
  <w:style w:type="character" w:customStyle="1" w:styleId="afa">
    <w:name w:val="页眉 字符"/>
    <w:basedOn w:val="a0"/>
    <w:link w:val="af9"/>
    <w:uiPriority w:val="99"/>
    <w:rsid w:val="00051572"/>
    <w:rPr>
      <w:rFonts w:cs="宋体" w:ascii="宋体" w:hAnsi="宋体" w:eastAsia="宋体"/>
      <w:szCs w:val="24"/>
      <w:lang w:eastAsia="fr-FR"/>
    </w:rPr>
  </w:style>
  <w:style w:type="table" w:styleId="afb">
    <w:name w:val="Table Grid"/>
    <w:aliases w:val="SGS Table Basic 1"/>
    <w:basedOn w:val="a1"/>
    <w:rsid w:val="00051572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pPr>
        <w:jc w:val="left"/>
      </w:pPr>
      <w:rPr>
        <w:color w:val="FF6600"/>
      </w:rPr>
      <w:tblPr/>
      <w:tcPr>
        <w:tcBorders>
          <w:bottom w:val="single" w:sz="12" w:space="0" w:color="363636"/>
        </w:tcBorders>
      </w:tcPr>
    </w:tblStylePr>
  </w:style>
  <w:style w:type="table" w:customStyle="1" w:styleId="SGSTableBasic2">
    <w:name w:val="SGS Table Basic 2"/>
    <w:basedOn w:val="a1"/>
    <w:uiPriority w:val="99"/>
    <w:qFormat/>
    <w:rsid w:val="00051572"/>
    <w:pPr>
      <w:spacing w:before="0"/>
    </w:pPr>
    <w:tblPr/>
    <w:tcPr>
      <w:shd w:val="clear" w:color="auto" w:fill="BCBCBC"/>
    </w:tcPr>
    <w:tblStylePr w:type="firstRow">
      <w:pPr>
        <w:jc w:val="left"/>
      </w:pPr>
      <w:tblPr/>
      <w:tcPr>
        <w:shd w:val="clear" w:color="auto" w:fill="363636"/>
        <w:vAlign w:val="center"/>
      </w:tcPr>
    </w:tblStylePr>
  </w:style>
  <w:style w:type="numbering" w:customStyle="1" w:styleId="SGS">
    <w:name w:val="SGS"/>
    <w:uiPriority w:val="99"/>
    <w:rsid w:val="00051572"/>
    <w:pPr>
      <w:numPr>
        <w:numId w:val="5"/>
      </w:numPr>
    </w:pPr>
  </w:style>
  <w:style w:type="paragraph" w:styleId="TOC1">
    <w:name w:val="toc 1"/>
    <w:basedOn w:val="a"/>
    <w:next w:val="a"/>
    <w:autoRedefine/>
    <w:uiPriority w:val="39"/>
    <w:rsid w:val="00051572"/>
    <w:pPr>
      <w:keepNext/>
      <w:keepLines/>
      <w:pBdr>
        <w:left w:val="single" w:sz="48" w:space="4" w:color="FF6600"/>
      </w:pBdr>
      <w:shd w:val="clear" w:color="auto" w:fill="363636"/>
      <w:tabs>
        <w:tab w:val="left" w:pos="426"/>
        <w:tab w:val="right" w:leader="dot" w:pos="9072"/>
      </w:tabs>
    </w:pPr>
    <w:rPr>
      <w:rFonts w:cstheme="majorBidi" w:ascii="黑体" w:hAnsi="黑体" w:eastAsia="黑体" w:cs="黑体"/>
      <w:b/>
      <w:caps/>
      <w:noProof/>
      <w:color w:val="FFFFFF" w:themeColor="background1"/>
      <w:sz w:val="18"/>
      <w:szCs w:val="20"/>
      <w:lang w:eastAsia="en-US" w:bidi="en-US"/>
    </w:rPr>
  </w:style>
  <w:style w:type="paragraph" w:styleId="TOC2">
    <w:name w:val="toc 2"/>
    <w:basedOn w:val="a"/>
    <w:next w:val="a"/>
    <w:autoRedefine/>
    <w:uiPriority w:val="39"/>
    <w:rsid w:val="00051572"/>
    <w:pPr>
      <w:keepNext/>
      <w:keepLines/>
      <w:tabs>
        <w:tab w:val="left" w:pos="880"/>
        <w:tab w:val="right" w:leader="dot" w:pos="9072"/>
      </w:tabs>
    </w:pPr>
    <w:rPr>
      <w:rFonts w:cstheme="majorBidi" w:ascii="宋体" w:hAnsi="宋体" w:eastAsia="宋体" w:cs="宋体"/>
      <w:smallCaps/>
      <w:noProof/>
      <w:sz w:val="18"/>
      <w:szCs w:val="18"/>
      <w:lang w:eastAsia="en-US" w:bidi="en-US"/>
    </w:rPr>
  </w:style>
  <w:style w:type="paragraph" w:styleId="TOC3">
    <w:name w:val="toc 3"/>
    <w:basedOn w:val="a"/>
    <w:next w:val="a"/>
    <w:autoRedefine/>
    <w:uiPriority w:val="39"/>
    <w:rsid w:val="00051572"/>
    <w:pPr>
      <w:keepNext/>
      <w:keepLines/>
      <w:tabs>
        <w:tab w:val="left" w:pos="1418"/>
        <w:tab w:val="right" w:leader="dot" w:pos="9072"/>
      </w:tabs>
      <w:ind w:left="1418" w:hanging="567"/>
    </w:pPr>
    <w:rPr>
      <w:rFonts w:cstheme="majorBidi" w:ascii="宋体" w:hAnsi="宋体" w:eastAsia="宋体" w:cs="宋体"/>
      <w:noProof/>
      <w:sz w:val="18"/>
      <w:szCs w:val="22"/>
      <w:lang w:eastAsia="en-US" w:bidi="en-US"/>
    </w:rPr>
  </w:style>
  <w:style w:type="paragraph" w:styleId="afc">
    <w:name w:val="Balloon Text"/>
    <w:basedOn w:val="a"/>
    <w:link w:val="afd"/>
    <w:semiHidden/>
    <w:rsid w:val="00051572"/>
    <w:pPr>
      <w:spacing w:before="0"/>
    </w:pPr>
    <w:rPr>
      <w:rFonts w:cs="宋体" w:ascii="宋体" w:hAnsi="宋体" w:eastAsia="宋体"/>
      <w:sz w:val="16"/>
      <w:szCs w:val="16"/>
    </w:rPr>
  </w:style>
  <w:style w:type="character" w:customStyle="1" w:styleId="afd">
    <w:name w:val="批注框文本 字符"/>
    <w:basedOn w:val="a0"/>
    <w:link w:val="afc"/>
    <w:semiHidden/>
    <w:rsid w:val="00051572"/>
    <w:rPr>
      <w:rFonts w:cs="宋体" w:ascii="宋体" w:hAnsi="宋体" w:eastAsia="宋体"/>
      <w:sz w:val="16"/>
      <w:szCs w:val="16"/>
      <w:lang w:val="fr-FR" w:eastAsia="fr-FR"/>
    </w:rPr>
  </w:style>
  <w:style w:type="table" w:styleId="21">
    <w:name w:val="Table Classic 2"/>
    <w:basedOn w:val="a1"/>
    <w:rsid w:val="00C72CF6"/>
    <w:pPr>
      <w:ind w:left="0"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shd w:val="clear" w:color="auto" w:fill="FF66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shd w:val="clear" w:color="auto" w:fill="363636"/>
      </w:tcPr>
    </w:tblStylePr>
    <w:tblStylePr w:type="swCell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olorful 1"/>
    <w:basedOn w:val="a1"/>
    <w:rsid w:val="00B40C4D"/>
    <w:pPr>
      <w:ind w:left="0" w:firstLine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363636"/>
      </w:tcPr>
    </w:tblStylePr>
    <w:tblStylePr w:type="firstCol">
      <w:rPr>
        <w:b/>
        <w:bCs/>
        <w:i/>
        <w:iCs/>
      </w:rPr>
      <w:tblPr/>
      <w:tcPr>
        <w:shd w:val="clear" w:color="auto" w:fill="FF6600"/>
      </w:tcPr>
    </w:tblStylePr>
    <w:tblStylePr w:type="nwCell">
      <w:tblPr/>
      <w:tcPr>
        <w:shd w:val="clear" w:color="auto" w:fill="363636"/>
      </w:tcPr>
    </w:tblStylePr>
    <w:tblStylePr w:type="swCell">
      <w:rPr>
        <w:b/>
        <w:bCs/>
        <w:i w:val="0"/>
        <w:iCs w:val="0"/>
      </w:rPr>
    </w:tblStylePr>
  </w:style>
  <w:style w:type="table" w:styleId="81">
    <w:name w:val="Table List 8"/>
    <w:basedOn w:val="a1"/>
    <w:rsid w:val="00B40C4D"/>
    <w:pPr>
      <w:ind w:left="0"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FF6600"/>
      </w:tcPr>
    </w:tblStylePr>
    <w:tblStylePr w:type="lastRow">
      <w:rPr>
        <w:b/>
        <w:bCs/>
      </w:rPr>
      <w:tblPr/>
      <w:tcPr>
        <w:shd w:val="clear" w:color="auto" w:fill="FF6600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shd w:val="clear" w:color="auto" w:fill="BCBCBC"/>
      </w:tcPr>
    </w:tblStylePr>
    <w:tblStylePr w:type="band2Horz">
      <w:tblPr/>
      <w:tcPr>
        <w:shd w:val="clear" w:color="auto" w:fill="363636"/>
      </w:tcPr>
    </w:tblStylePr>
  </w:style>
  <w:style w:type="table" w:styleId="31">
    <w:name w:val="Table Classic 3"/>
    <w:basedOn w:val="a1"/>
    <w:rsid w:val="00B40C4D"/>
    <w:pPr>
      <w:ind w:left="0"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BCBCBC"/>
    </w:tcPr>
    <w:tblStylePr w:type="firstRow">
      <w:rPr>
        <w:b/>
        <w:bCs/>
        <w:i/>
        <w:iCs/>
        <w:color w:val="FFFFFF"/>
      </w:rPr>
      <w:tblPr/>
      <w:tcPr>
        <w:shd w:val="clear" w:color="auto" w:fill="363636"/>
      </w:tcPr>
    </w:tblStylePr>
    <w:tblStylePr w:type="lastRow">
      <w:rPr>
        <w:color w:val="FF660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Unresolved Mention"/>
    <w:basedOn w:val="a0"/>
    <w:uiPriority w:val="99"/>
    <w:semiHidden/>
    <w:unhideWhenUsed/>
    <w:rsid w:val="00A13E9F"/>
    <w:rPr>
      <w:color w:val="605E5C"/>
      <w:shd w:val="clear" w:color="auto" w:fill="E1DFDD"/>
    </w:rPr>
  </w:style>
  <w:style w:type="paragraph" w:styleId="aff">
    <w:name w:val="Normal (Web)"/>
    <w:basedOn w:val="a"/>
    <w:uiPriority w:val="99"/>
    <w:unhideWhenUsed/>
    <w:rsid w:val="007047B5"/>
    <w:pPr>
      <w:spacing w:before="100" w:beforeAutospacing="1" w:after="100" w:afterAutospacing="1"/>
    </w:pPr>
    <w:rPr>
      <w:rFonts w:ascii="宋体" w:eastAsia="宋体" w:hAnsi="宋体" w:cs="宋体"/>
      <w:sz w:val="24"/>
      <w:lang w:val="en-US" w:eastAsia="zh-CN"/>
    </w:rPr>
  </w:style>
  <w:style w:type="character" w:customStyle="1" w:styleId="qnt-strong">
    <w:name w:val="qnt-strong"/>
    <w:basedOn w:val="a0"/>
    <w:rsid w:val="00692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24" Type="http://schemas.openxmlformats.org/officeDocument/2006/relationships/hyperlink" Target="https://webgate.ec.europa.eu/rasff-window/screen/notification/875590" TargetMode="External"/><Relationship Id="rId15" Type="http://schemas.openxmlformats.org/officeDocument/2006/relationships/hyperlink" Target="https://webgate.ec.europa.eu/rasff-window/screen/notification/876109" TargetMode="External"/><Relationship Id="rId16" Type="http://schemas.openxmlformats.org/officeDocument/2006/relationships/hyperlink" Target="https://webgate.ec.europa.eu/rasff-window/screen/notification/876211" TargetMode="External"/><Relationship Id="rId21" Type="http://schemas.openxmlformats.org/officeDocument/2006/relationships/hyperlink" Target="https://webgate.ec.europa.eu/rasff-window/screen/notification/876088" TargetMode="External"/><Relationship Id="rId22" Type="http://schemas.openxmlformats.org/officeDocument/2006/relationships/hyperlink" Target="https://www.gmpplus.org/publications/news/recognition-of-book-claim-and-mass-balance/" TargetMode="External"/><Relationship Id="rId23" Type="http://schemas.openxmlformats.org/officeDocument/2006/relationships/hyperlink" Target="https://cordis.europa.eu/project/id/101286912" TargetMode="External"/><Relationship Id="rId31" Type="http://schemas.openxmlformats.org/officeDocument/2006/relationships/hyperlink" Target="https://xmsyj.moa.gov.cn/jcyj/202609/t20260930_6488298.htm" TargetMode="External"/><Relationship Id="rId32" Type="http://schemas.openxmlformats.org/officeDocument/2006/relationships/hyperlink" Target="https://www.foodagribusiness.world/feed/amino-acid-market-quiet-ahead-of-china-s-golden-week" TargetMode="External"/><Relationship Id="rId33" Type="http://schemas.openxmlformats.org/officeDocument/2006/relationships/hyperlink" Target="https://www.foodagribusiness.world/feed/vitamin-market-quiet-as-ample-supply-keeps-prices-under-pressure" TargetMode="External"/><Relationship Id="rId34" Type="http://schemas.openxmlformats.org/officeDocument/2006/relationships/hyperlink" Target="https://www.whnews.cn/news/node/2026-09/30/content_7395417.htm" TargetMode="External"/><Relationship Id="rId35" Type="http://schemas.openxmlformats.org/officeDocument/2006/relationships/hyperlink" Target="https://jndsb.jxnews.com.cn/system/2026/09/30/031258322.shtm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Default Theme">
  <a:themeElements>
    <a:clrScheme name="SGS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363636"/>
      </a:accent1>
      <a:accent2>
        <a:srgbClr val="848685"/>
      </a:accent2>
      <a:accent3>
        <a:srgbClr val="FF6600"/>
      </a:accent3>
      <a:accent4>
        <a:srgbClr val="BCBCBC"/>
      </a:accent4>
      <a:accent5>
        <a:srgbClr val="FF9900"/>
      </a:accent5>
      <a:accent6>
        <a:srgbClr val="FF0000"/>
      </a:accent6>
      <a:hlink>
        <a:srgbClr val="FF0000"/>
      </a:hlink>
      <a:folHlink>
        <a:srgbClr val="BCBCBC"/>
      </a:folHlink>
    </a:clrScheme>
    <a:fontScheme name="default">
      <a:majorFont>
        <a:latin typeface="黑体"/>
        <a:ea typeface="宋体"/>
        <a:cs typeface="宋体"/>
      </a:majorFont>
      <a:minorFont>
        <a:latin typeface="黑体"/>
        <a:ea typeface="宋体"/>
        <a:cs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宋体" pitchFamily="18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宋体" pitchFamily="18" charset="0"/>
          </a:defRPr>
        </a:defPPr>
      </a:lstStyle>
    </a:lnDef>
  </a:objectDefaults>
  <a:extraClrSchemeLst>
    <a:extraClrScheme>
      <a:clrScheme name="default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2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3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4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宠物食品与动物饲料行业周报</dc:title>
  <dc:subject>2026-09-26 00:00 至 2026-10-02 19:00 北京时间</dc:subject>
  <dc:creator>Neil Yu</dc:creator>
  <cp:keywords/>
  <dc:description/>
  <cp:lastModifiedBy>Neil Yu</cp:lastModifiedBy>
  <cp:revision>11</cp:revision>
  <cp:lastPrinted>2025-02-06T01:14:00Z</cp:lastPrinted>
  <dcterms:created xsi:type="dcterms:W3CDTF">2025-02-06T00:57:00Z</dcterms:created>
  <dcterms:modified xsi:type="dcterms:W3CDTF">2025-02-06T07:40:00Z</dcterms:modified>
</cp:coreProperties>
</file>