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14E5A" w14:textId="5E9DA155" w:rsidR="006C3F59" w:rsidRDefault="006C3F59" w:rsidP="006C3F59">
      <w:pPr>
        <w:shd w:val="clear" w:color="auto" w:fill="FFFFFF"/>
        <w:spacing w:before="0"/>
        <w:jc w:val="center"/>
        <w:outlineLvl w:val="0"/>
        <w:rPr>
          <w:rFonts w:ascii="黑体" w:eastAsia="黑体" w:hAnsi="黑体" w:cs="黑体" w:hint="eastAsia"/>
          <w:b/>
          <w:bCs/>
          <w:color w:val="000000"/>
          <w:kern w:val="36"/>
          <w:sz w:val="24"/>
          <w:lang w:val="en-US" w:eastAsia="zh-CN"/>
        </w:rPr>
      </w:pPr>
      <w:r w:rsidRPr="006C3F59">
        <w:rPr>
          <w:rFonts w:ascii="黑体" w:eastAsia="黑体" w:hAnsi="黑体" w:cs="黑体"/>
          <w:b/>
          <w:bCs/>
          <w:noProof/>
          <w:color w:val="000000"/>
          <w:kern w:val="36"/>
          <w:sz w:val="24"/>
          <w:lang w:eastAsia="zh-CN"/>
        </w:rPr>
        <w:drawing>
          <wp:inline distT="0" distB="0" distL="0" distR="0" wp14:anchorId="60431849" wp14:editId="0907A3A1">
            <wp:extent cx="3695700" cy="2428875"/>
            <wp:effectExtent l="0" t="0" r="0" b="9525"/>
            <wp:docPr id="5" name="Picture 4">
              <a:extLst xmlns:a="http://schemas.openxmlformats.org/drawingml/2006/main">
                <a:ext uri="{FF2B5EF4-FFF2-40B4-BE49-F238E27FC236}">
                  <a16:creationId xmlns:a16="http://schemas.microsoft.com/office/drawing/2014/main" id="{F7F566E8-9032-4A98-922B-EE5BC6E0C3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7F566E8-9032-4A98-922B-EE5BC6E0C340}"/>
                        </a:ext>
                      </a:extLst>
                    </pic:cNvPr>
                    <pic:cNvPicPr>
                      <a:picLocks noChangeAspect="1"/>
                    </pic:cNvPicPr>
                  </pic:nvPicPr>
                  <pic:blipFill>
                    <a:blip r:embed="rId7"/>
                    <a:stretch>
                      <a:fillRect/>
                    </a:stretch>
                  </pic:blipFill>
                  <pic:spPr>
                    <a:xfrm>
                      <a:off x="0" y="0"/>
                      <a:ext cx="3695700" cy="2428875"/>
                    </a:xfrm>
                    <a:prstGeom prst="rect">
                      <a:avLst/>
                    </a:prstGeom>
                    <a:ln>
                      <a:noFill/>
                    </a:ln>
                    <a:effectLst>
                      <a:softEdge rad="112500"/>
                    </a:effectLst>
                  </pic:spPr>
                </pic:pic>
              </a:graphicData>
            </a:graphic>
          </wp:inline>
        </w:drawing>
      </w:r>
    </w:p>
    <w:p>
      <w:pPr>
        <w:keepNext w:val="0"/>
        <w:spacing w:before="0" w:after="80" w:line="276" w:lineRule="auto"/>
        <w:jc w:val="center"/>
      </w:pPr>
      <w:r>
        <w:rPr>
          <w:rFonts w:ascii="黑体" w:hAnsi="黑体" w:eastAsia="黑体" w:cs="黑体"/>
          <w:b/>
          <w:sz w:val="40"/>
        </w:rPr>
        <w:t>宠物食品与动物饲料行业周报</w:t>
      </w:r>
    </w:p>
    <w:p>
      <w:pPr>
        <w:keepNext w:val="0"/>
        <w:spacing w:before="0" w:after="160" w:line="276" w:lineRule="auto"/>
        <w:jc w:val="center"/>
      </w:pPr>
      <w:r>
        <w:rPr>
          <w:rFonts w:ascii="黑体" w:hAnsi="黑体" w:eastAsia="黑体" w:cs="黑体"/>
          <w:b/>
          <w:sz w:val="24"/>
        </w:rPr>
        <w:t>2026年10月9日19:00 不含 至10月16日19:00 含</w:t>
      </w:r>
    </w:p>
    <w:p>
      <w:pPr>
        <w:keepNext w:val="0"/>
        <w:spacing w:before="0" w:after="160" w:line="276" w:lineRule="auto"/>
      </w:pPr>
      <w:r>
        <w:rPr>
          <w:rFonts w:ascii="宋体" w:hAnsi="宋体" w:eastAsia="宋体" w:cs="宋体"/>
          <w:b w:val="0"/>
          <w:sz w:val="19"/>
        </w:rPr>
        <w:t>本期重点是猫粮钙磷营养谱调整、饲料原料微生物与物种真实性，以及中国原料成本和产业动态。企业宜联动管理配方、标签、供应商与批次放行。观察窗口截至10月16日19:00，编制完成于10月17日。</w:t>
      </w:r>
    </w:p>
    <w:p>
      <w:pPr>
        <w:keepNext/>
        <w:spacing w:before="60" w:after="80" w:line="276" w:lineRule="auto"/>
      </w:pPr>
      <w:r>
        <w:rPr>
          <w:rFonts w:ascii="黑体" w:hAnsi="黑体" w:eastAsia="黑体" w:cs="黑体"/>
          <w:b/>
          <w:sz w:val="30"/>
        </w:rPr>
        <w:t>一、本周重点</w:t>
      </w:r>
    </w:p>
    <w:p>
      <w:pPr>
        <w:keepNext w:val="0"/>
        <w:spacing w:before="0" w:after="40" w:line="276" w:lineRule="auto"/>
      </w:pPr>
      <w:r>
        <w:rPr>
          <w:rFonts w:ascii="宋体" w:hAnsi="宋体" w:eastAsia="宋体" w:cs="宋体"/>
          <w:b w:val="0"/>
          <w:sz w:val="20"/>
        </w:rPr>
        <w:t>AAFCO 10月13日发布猫粮钙磷营养谱实施建议，提出与宠物食品标签现代化（PFLM）协同实施；企业应联动复核配方、营养充分性、检测和州注册要求。</w:t>
      </w:r>
    </w:p>
    <w:p>
      <w:pPr>
        <w:keepNext w:val="0"/>
        <w:spacing w:before="0" w:after="40" w:line="276" w:lineRule="auto"/>
      </w:pPr>
      <w:r>
        <w:rPr>
          <w:rFonts w:ascii="宋体" w:hAnsi="宋体" w:eastAsia="宋体" w:cs="宋体"/>
          <w:b w:val="0"/>
          <w:sz w:val="20"/>
        </w:rPr>
        <w:t>RASFF通报涉及意大利豆粕、摩洛哥鱼粉及小麦加工颗粒中的沙门氏菌；另有禽源加工动物蛋白检出反刍动物和猪DNA。应按危害和用途分别核对关联批次、杀菌与再污染控制、原料真实性和适用合规要求。</w:t>
      </w:r>
    </w:p>
    <w:p>
      <w:pPr>
        <w:keepNext w:val="0"/>
        <w:spacing w:before="0" w:after="40" w:line="276" w:lineRule="auto"/>
      </w:pPr>
      <w:r>
        <w:rPr>
          <w:rFonts w:ascii="宋体" w:hAnsi="宋体" w:eastAsia="宋体" w:cs="宋体"/>
          <w:b w:val="0"/>
          <w:sz w:val="20"/>
        </w:rPr>
        <w:t>RASFF 2026.9106涉及秘鲁鱼粉肠杆菌科计数520 CFU/g，通报列示参照值300 CFU/g，并记载酸处理措施。该个案数据不能直接套作所有鱼粉的通用限量。</w:t>
      </w:r>
    </w:p>
    <w:p>
      <w:pPr>
        <w:keepNext w:val="0"/>
        <w:spacing w:before="0" w:after="40" w:line="276" w:lineRule="auto"/>
      </w:pPr>
      <w:r>
        <w:rPr>
          <w:rFonts w:ascii="宋体" w:hAnsi="宋体" w:eastAsia="宋体" w:cs="宋体"/>
          <w:b w:val="0"/>
          <w:sz w:val="20"/>
        </w:rPr>
        <w:t>农业农村部10月14日公布的10月8日监测显示：玉米2.43元/公斤，环比下降0.4%；豆粕3.43元/公斤，环比上涨0.3%。发布日期与采样日期应分开理解。</w:t>
      </w:r>
    </w:p>
    <w:p>
      <w:r>
        <w:br w:type="page"/>
      </w:r>
    </w:p>
    <w:p>
      <w:pPr>
        <w:keepNext/>
        <w:spacing w:before="60" w:after="80" w:line="276" w:lineRule="auto"/>
      </w:pPr>
      <w:r>
        <w:rPr>
          <w:rFonts w:ascii="黑体" w:hAnsi="黑体" w:eastAsia="黑体" w:cs="黑体"/>
          <w:b/>
          <w:sz w:val="30"/>
        </w:rPr>
        <w:t>二、本周风险与行动快表</w:t>
      </w:r>
    </w:p>
    <w:tbl>
      <w:tblPr>
        <w:tblStyle w:val="afb"/>
        <w:tblW w:type="dxa" w:w="9677"/>
        <w:jc w:val="center"/>
        <w:tblLayout w:type="fixed"/>
        <w:tblLook w:firstColumn="1" w:firstRow="1" w:lastColumn="0" w:lastRow="0" w:noHBand="0" w:noVBand="1" w:val="04A0"/>
      </w:tblPr>
      <w:tblGrid>
        <w:gridCol w:w="835"/>
        <w:gridCol w:w="1613"/>
        <w:gridCol w:w="1296"/>
        <w:gridCol w:w="2462"/>
        <w:gridCol w:w="792"/>
        <w:gridCol w:w="2678"/>
      </w:tblGrid>
      <w:tr>
        <w:trPr>
          <w:tblHeader w:val="true"/>
          <w:cantSplit/>
        </w:trPr>
        <w:tc>
          <w:tcPr>
            <w:tcW w:type="dxa" w:w="835"/>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日期</w:t>
            </w:r>
          </w:p>
        </w:tc>
        <w:tc>
          <w:tcPr>
            <w:tcW w:type="dxa" w:w="1613"/>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来源/编号</w:t>
            </w:r>
          </w:p>
        </w:tc>
        <w:tc>
          <w:tcPr>
            <w:tcW w:type="dxa" w:w="1296"/>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产品/对象</w:t>
            </w:r>
          </w:p>
        </w:tc>
        <w:tc>
          <w:tcPr>
            <w:tcW w:type="dxa" w:w="246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事项</w:t>
            </w:r>
          </w:p>
        </w:tc>
        <w:tc>
          <w:tcPr>
            <w:tcW w:type="dxa" w:w="79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优先级</w:t>
            </w:r>
          </w:p>
        </w:tc>
        <w:tc>
          <w:tcPr>
            <w:tcW w:type="dxa" w:w="2678"/>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本周建议动作</w:t>
            </w:r>
          </w:p>
        </w:tc>
      </w:tr>
      <w:tr>
        <w:trPr>
          <w:cantSplit/>
        </w:trPr>
        <w:tc>
          <w:tcPr>
            <w:tcW w:type="dxa" w:w="835"/>
            <w:vAlign w:val="center"/>
            <w:tcMar>
              <w:top w:w="75" w:type="dxa"/>
              <w:start w:w="75" w:type="dxa"/>
              <w:bottom w:w="75" w:type="dxa"/>
              <w:end w:w="75" w:type="dxa"/>
            </w:tcMar>
          </w:tcPr>
          <w:p>
            <w:pPr>
              <w:spacing w:after="0" w:line="247" w:lineRule="auto"/>
              <w:jc w:val="center"/>
            </w:pPr>
            <w:r>
              <w:t>10-13</w:t>
            </w:r>
          </w:p>
        </w:tc>
        <w:tc>
          <w:tcPr>
            <w:tcW w:type="dxa" w:w="1613"/>
            <w:vAlign w:val="center"/>
            <w:tcMar>
              <w:top w:w="75" w:type="dxa"/>
              <w:start w:w="75" w:type="dxa"/>
              <w:bottom w:w="75" w:type="dxa"/>
              <w:end w:w="75" w:type="dxa"/>
            </w:tcMar>
          </w:tcPr>
          <w:p>
            <w:pPr>
              <w:spacing w:after="0" w:line="247" w:lineRule="auto"/>
            </w:pPr>
            <w:r>
              <w:t>AAFCO</w:t>
            </w:r>
          </w:p>
        </w:tc>
        <w:tc>
          <w:tcPr>
            <w:tcW w:type="dxa" w:w="1296"/>
            <w:vAlign w:val="center"/>
            <w:tcMar>
              <w:top w:w="75" w:type="dxa"/>
              <w:start w:w="75" w:type="dxa"/>
              <w:bottom w:w="75" w:type="dxa"/>
              <w:end w:w="75" w:type="dxa"/>
            </w:tcMar>
          </w:tcPr>
          <w:p>
            <w:pPr>
              <w:spacing w:after="0" w:line="247" w:lineRule="auto"/>
            </w:pPr>
            <w:r>
              <w:t>猫粮营养充分性</w:t>
            </w:r>
          </w:p>
        </w:tc>
        <w:tc>
          <w:tcPr>
            <w:tcW w:type="dxa" w:w="2462"/>
            <w:vAlign w:val="center"/>
            <w:tcMar>
              <w:top w:w="75" w:type="dxa"/>
              <w:start w:w="75" w:type="dxa"/>
              <w:bottom w:w="75" w:type="dxa"/>
              <w:end w:w="75" w:type="dxa"/>
            </w:tcMar>
          </w:tcPr>
          <w:p>
            <w:pPr>
              <w:spacing w:after="0" w:line="247" w:lineRule="auto"/>
            </w:pPr>
            <w:r>
              <w:t>发布钙磷营养谱实施建议，衔接PFLM安排。</w:t>
            </w:r>
          </w:p>
        </w:tc>
        <w:tc>
          <w:tcPr>
            <w:tcW w:type="dxa" w:w="792"/>
            <w:vAlign w:val="center"/>
            <w:tcMar>
              <w:top w:w="75" w:type="dxa"/>
              <w:start w:w="75" w:type="dxa"/>
              <w:bottom w:w="75" w:type="dxa"/>
              <w:end w:w="75" w:type="dxa"/>
            </w:tcMar>
          </w:tcPr>
          <w:p>
            <w:pPr>
              <w:spacing w:after="0" w:line="247" w:lineRule="auto"/>
              <w:jc w:val="center"/>
            </w:pPr>
            <w:r>
              <w:t>中高</w:t>
            </w:r>
          </w:p>
        </w:tc>
        <w:tc>
          <w:tcPr>
            <w:tcW w:type="dxa" w:w="2678"/>
            <w:vAlign w:val="center"/>
            <w:tcMar>
              <w:top w:w="75" w:type="dxa"/>
              <w:start w:w="75" w:type="dxa"/>
              <w:bottom w:w="75" w:type="dxa"/>
              <w:end w:w="75" w:type="dxa"/>
            </w:tcMar>
          </w:tcPr>
          <w:p>
            <w:pPr>
              <w:spacing w:after="0" w:line="247" w:lineRule="auto"/>
            </w:pPr>
            <w:r>
              <w:t>建立配方、检测、标签与各州注册要求的变更清单。</w:t>
            </w:r>
          </w:p>
        </w:tc>
      </w:tr>
      <w:tr>
        <w:trPr>
          <w:cantSplit/>
        </w:trPr>
        <w:tc>
          <w:tcPr>
            <w:tcW w:type="dxa" w:w="835"/>
            <w:vAlign w:val="center"/>
            <w:tcMar>
              <w:top w:w="75" w:type="dxa"/>
              <w:start w:w="75" w:type="dxa"/>
              <w:bottom w:w="75" w:type="dxa"/>
              <w:end w:w="75" w:type="dxa"/>
            </w:tcMar>
          </w:tcPr>
          <w:p>
            <w:pPr>
              <w:spacing w:after="0" w:line="247" w:lineRule="auto"/>
              <w:jc w:val="center"/>
            </w:pPr>
            <w:r>
              <w:t>10-14至15</w:t>
            </w:r>
          </w:p>
        </w:tc>
        <w:tc>
          <w:tcPr>
            <w:tcW w:type="dxa" w:w="1613"/>
            <w:vAlign w:val="center"/>
            <w:tcMar>
              <w:top w:w="75" w:type="dxa"/>
              <w:start w:w="75" w:type="dxa"/>
              <w:bottom w:w="75" w:type="dxa"/>
              <w:end w:w="75" w:type="dxa"/>
            </w:tcMar>
          </w:tcPr>
          <w:p>
            <w:pPr>
              <w:spacing w:after="0" w:line="247" w:lineRule="auto"/>
            </w:pPr>
            <w:r>
              <w:t>RASFF</w:t>
            </w:r>
            <w:r>
              <w:br/>
              <w:t>2026.9128</w:t>
            </w:r>
            <w:r>
              <w:br/>
              <w:t>2026.9174</w:t>
            </w:r>
            <w:r>
              <w:br/>
              <w:t>2026.9181</w:t>
            </w:r>
          </w:p>
        </w:tc>
        <w:tc>
          <w:tcPr>
            <w:tcW w:type="dxa" w:w="1296"/>
            <w:vAlign w:val="center"/>
            <w:tcMar>
              <w:top w:w="75" w:type="dxa"/>
              <w:start w:w="75" w:type="dxa"/>
              <w:bottom w:w="75" w:type="dxa"/>
              <w:end w:w="75" w:type="dxa"/>
            </w:tcMar>
          </w:tcPr>
          <w:p>
            <w:pPr>
              <w:spacing w:after="0" w:line="247" w:lineRule="auto"/>
            </w:pPr>
            <w:r>
              <w:t>豆粕等饲料原料</w:t>
            </w:r>
          </w:p>
        </w:tc>
        <w:tc>
          <w:tcPr>
            <w:tcW w:type="dxa" w:w="2462"/>
            <w:vAlign w:val="center"/>
            <w:tcMar>
              <w:top w:w="75" w:type="dxa"/>
              <w:start w:w="75" w:type="dxa"/>
              <w:bottom w:w="75" w:type="dxa"/>
              <w:end w:w="75" w:type="dxa"/>
            </w:tcMar>
          </w:tcPr>
          <w:p>
            <w:pPr>
              <w:spacing w:after="0" w:line="247" w:lineRule="auto"/>
            </w:pPr>
            <w:r>
              <w:t>2026.9128豆粕；2026.9174鱼粉；2026.9181小麦加工颗粒：沙门氏菌信息通报。</w:t>
            </w:r>
          </w:p>
        </w:tc>
        <w:tc>
          <w:tcPr>
            <w:tcW w:type="dxa" w:w="792"/>
            <w:vAlign w:val="center"/>
            <w:tcMar>
              <w:top w:w="75" w:type="dxa"/>
              <w:start w:w="75" w:type="dxa"/>
              <w:bottom w:w="75" w:type="dxa"/>
              <w:end w:w="75" w:type="dxa"/>
            </w:tcMar>
          </w:tcPr>
          <w:p>
            <w:pPr>
              <w:spacing w:after="0" w:line="247" w:lineRule="auto"/>
              <w:jc w:val="center"/>
            </w:pPr>
            <w:r>
              <w:t>高</w:t>
            </w:r>
          </w:p>
        </w:tc>
        <w:tc>
          <w:tcPr>
            <w:tcW w:type="dxa" w:w="2678"/>
            <w:vAlign w:val="center"/>
            <w:tcMar>
              <w:top w:w="75" w:type="dxa"/>
              <w:start w:w="75" w:type="dxa"/>
              <w:bottom w:w="75" w:type="dxa"/>
              <w:end w:w="75" w:type="dxa"/>
            </w:tcMar>
          </w:tcPr>
          <w:p>
            <w:pPr>
              <w:spacing w:after="0" w:line="247" w:lineRule="auto"/>
            </w:pPr>
            <w:r>
              <w:t>核对关联批次、热处理及处理后再污染控制。</w:t>
            </w:r>
          </w:p>
        </w:tc>
      </w:tr>
      <w:tr>
        <w:trPr>
          <w:cantSplit/>
        </w:trPr>
        <w:tc>
          <w:tcPr>
            <w:tcW w:type="dxa" w:w="835"/>
            <w:vAlign w:val="center"/>
            <w:tcMar>
              <w:top w:w="75" w:type="dxa"/>
              <w:start w:w="75" w:type="dxa"/>
              <w:bottom w:w="75" w:type="dxa"/>
              <w:end w:w="75" w:type="dxa"/>
            </w:tcMar>
          </w:tcPr>
          <w:p>
            <w:pPr>
              <w:spacing w:after="0" w:line="247" w:lineRule="auto"/>
              <w:jc w:val="center"/>
            </w:pPr>
            <w:r>
              <w:t>10-13</w:t>
            </w:r>
          </w:p>
        </w:tc>
        <w:tc>
          <w:tcPr>
            <w:tcW w:type="dxa" w:w="1613"/>
            <w:vAlign w:val="center"/>
            <w:tcMar>
              <w:top w:w="75" w:type="dxa"/>
              <w:start w:w="75" w:type="dxa"/>
              <w:bottom w:w="75" w:type="dxa"/>
              <w:end w:w="75" w:type="dxa"/>
            </w:tcMar>
          </w:tcPr>
          <w:p>
            <w:pPr>
              <w:spacing w:after="0" w:line="247" w:lineRule="auto"/>
            </w:pPr>
            <w:r>
              <w:t>RASFF</w:t>
            </w:r>
            <w:r>
              <w:br/>
              <w:t>2026.9106</w:t>
            </w:r>
          </w:p>
        </w:tc>
        <w:tc>
          <w:tcPr>
            <w:tcW w:type="dxa" w:w="1296"/>
            <w:vAlign w:val="center"/>
            <w:tcMar>
              <w:top w:w="75" w:type="dxa"/>
              <w:start w:w="75" w:type="dxa"/>
              <w:bottom w:w="75" w:type="dxa"/>
              <w:end w:w="75" w:type="dxa"/>
            </w:tcMar>
          </w:tcPr>
          <w:p>
            <w:pPr>
              <w:spacing w:after="0" w:line="247" w:lineRule="auto"/>
            </w:pPr>
            <w:r>
              <w:t>秘鲁鱼粉</w:t>
            </w:r>
          </w:p>
        </w:tc>
        <w:tc>
          <w:tcPr>
            <w:tcW w:type="dxa" w:w="2462"/>
            <w:vAlign w:val="center"/>
            <w:tcMar>
              <w:top w:w="75" w:type="dxa"/>
              <w:start w:w="75" w:type="dxa"/>
              <w:bottom w:w="75" w:type="dxa"/>
              <w:end w:w="75" w:type="dxa"/>
            </w:tcMar>
          </w:tcPr>
          <w:p>
            <w:pPr>
              <w:spacing w:after="0" w:line="247" w:lineRule="auto"/>
            </w:pPr>
            <w:r>
              <w:t>肠杆菌科520 CFU/g；供关注的信息通报，官方判为潜在风险。</w:t>
            </w:r>
          </w:p>
        </w:tc>
        <w:tc>
          <w:tcPr>
            <w:tcW w:type="dxa" w:w="792"/>
            <w:vAlign w:val="center"/>
            <w:tcMar>
              <w:top w:w="75" w:type="dxa"/>
              <w:start w:w="75" w:type="dxa"/>
              <w:bottom w:w="75" w:type="dxa"/>
              <w:end w:w="75" w:type="dxa"/>
            </w:tcMar>
          </w:tcPr>
          <w:p>
            <w:pPr>
              <w:spacing w:after="0" w:line="247" w:lineRule="auto"/>
              <w:jc w:val="center"/>
            </w:pPr>
            <w:r>
              <w:t>中高</w:t>
            </w:r>
          </w:p>
        </w:tc>
        <w:tc>
          <w:tcPr>
            <w:tcW w:type="dxa" w:w="2678"/>
            <w:vAlign w:val="center"/>
            <w:tcMar>
              <w:top w:w="75" w:type="dxa"/>
              <w:start w:w="75" w:type="dxa"/>
              <w:bottom w:w="75" w:type="dxa"/>
              <w:end w:w="75" w:type="dxa"/>
            </w:tcMar>
          </w:tcPr>
          <w:p>
            <w:pPr>
              <w:spacing w:after="0" w:line="247" w:lineRule="auto"/>
            </w:pPr>
            <w:r>
              <w:t>核实批次规格、酸处理效果与适用验收依据。</w:t>
            </w:r>
          </w:p>
        </w:tc>
      </w:tr>
      <w:tr>
        <w:trPr>
          <w:cantSplit/>
        </w:trPr>
        <w:tc>
          <w:tcPr>
            <w:tcW w:type="dxa" w:w="835"/>
            <w:vAlign w:val="center"/>
            <w:tcMar>
              <w:top w:w="75" w:type="dxa"/>
              <w:start w:w="75" w:type="dxa"/>
              <w:bottom w:w="75" w:type="dxa"/>
              <w:end w:w="75" w:type="dxa"/>
            </w:tcMar>
          </w:tcPr>
          <w:p>
            <w:pPr>
              <w:spacing w:after="0" w:line="247" w:lineRule="auto"/>
              <w:jc w:val="center"/>
            </w:pPr>
            <w:r>
              <w:t>10-15</w:t>
            </w:r>
          </w:p>
        </w:tc>
        <w:tc>
          <w:tcPr>
            <w:tcW w:type="dxa" w:w="1613"/>
            <w:vAlign w:val="center"/>
            <w:tcMar>
              <w:top w:w="75" w:type="dxa"/>
              <w:start w:w="75" w:type="dxa"/>
              <w:bottom w:w="75" w:type="dxa"/>
              <w:end w:w="75" w:type="dxa"/>
            </w:tcMar>
          </w:tcPr>
          <w:p>
            <w:pPr>
              <w:spacing w:after="0" w:line="247" w:lineRule="auto"/>
            </w:pPr>
            <w:r>
              <w:t>RASFF</w:t>
            </w:r>
            <w:r>
              <w:br/>
              <w:t>2026.9171</w:t>
            </w:r>
          </w:p>
        </w:tc>
        <w:tc>
          <w:tcPr>
            <w:tcW w:type="dxa" w:w="1296"/>
            <w:vAlign w:val="center"/>
            <w:tcMar>
              <w:top w:w="75" w:type="dxa"/>
              <w:start w:w="75" w:type="dxa"/>
              <w:bottom w:w="75" w:type="dxa"/>
              <w:end w:w="75" w:type="dxa"/>
            </w:tcMar>
          </w:tcPr>
          <w:p>
            <w:pPr>
              <w:spacing w:after="0" w:line="247" w:lineRule="auto"/>
            </w:pPr>
            <w:r>
              <w:t>禽源加工动物蛋白</w:t>
            </w:r>
          </w:p>
        </w:tc>
        <w:tc>
          <w:tcPr>
            <w:tcW w:type="dxa" w:w="2462"/>
            <w:vAlign w:val="center"/>
            <w:tcMar>
              <w:top w:w="75" w:type="dxa"/>
              <w:start w:w="75" w:type="dxa"/>
              <w:bottom w:w="75" w:type="dxa"/>
              <w:end w:w="75" w:type="dxa"/>
            </w:tcMar>
          </w:tcPr>
          <w:p>
            <w:pPr>
              <w:spacing w:after="0" w:line="247" w:lineRule="auto"/>
            </w:pPr>
            <w:r>
              <w:t>检出反刍动物与猪DNA；官方风险为不严重。</w:t>
            </w:r>
          </w:p>
        </w:tc>
        <w:tc>
          <w:tcPr>
            <w:tcW w:type="dxa" w:w="792"/>
            <w:vAlign w:val="center"/>
            <w:tcMar>
              <w:top w:w="75" w:type="dxa"/>
              <w:start w:w="75" w:type="dxa"/>
              <w:bottom w:w="75" w:type="dxa"/>
              <w:end w:w="75" w:type="dxa"/>
            </w:tcMar>
          </w:tcPr>
          <w:p>
            <w:pPr>
              <w:spacing w:after="0" w:line="247" w:lineRule="auto"/>
              <w:jc w:val="center"/>
            </w:pPr>
            <w:r>
              <w:t>中</w:t>
            </w:r>
          </w:p>
        </w:tc>
        <w:tc>
          <w:tcPr>
            <w:tcW w:type="dxa" w:w="2678"/>
            <w:vAlign w:val="center"/>
            <w:tcMar>
              <w:top w:w="75" w:type="dxa"/>
              <w:start w:w="75" w:type="dxa"/>
              <w:bottom w:w="75" w:type="dxa"/>
              <w:end w:w="75" w:type="dxa"/>
            </w:tcMar>
          </w:tcPr>
          <w:p>
            <w:pPr>
              <w:spacing w:after="0" w:line="247" w:lineRule="auto"/>
            </w:pPr>
            <w:r>
              <w:t>核对物种声明、分线与检测证据，并按目标用途核查合规。</w:t>
            </w:r>
          </w:p>
        </w:tc>
      </w:tr>
      <w:tr>
        <w:trPr>
          <w:cantSplit/>
        </w:trPr>
        <w:tc>
          <w:tcPr>
            <w:tcW w:type="dxa" w:w="835"/>
            <w:vAlign w:val="center"/>
            <w:tcMar>
              <w:top w:w="75" w:type="dxa"/>
              <w:start w:w="75" w:type="dxa"/>
              <w:bottom w:w="75" w:type="dxa"/>
              <w:end w:w="75" w:type="dxa"/>
            </w:tcMar>
          </w:tcPr>
          <w:p>
            <w:pPr>
              <w:spacing w:after="0" w:line="247" w:lineRule="auto"/>
              <w:jc w:val="center"/>
            </w:pPr>
            <w:r>
              <w:t>10-14</w:t>
            </w:r>
          </w:p>
        </w:tc>
        <w:tc>
          <w:tcPr>
            <w:tcW w:type="dxa" w:w="1613"/>
            <w:vAlign w:val="center"/>
            <w:tcMar>
              <w:top w:w="75" w:type="dxa"/>
              <w:start w:w="75" w:type="dxa"/>
              <w:bottom w:w="75" w:type="dxa"/>
              <w:end w:w="75" w:type="dxa"/>
            </w:tcMar>
          </w:tcPr>
          <w:p>
            <w:pPr>
              <w:spacing w:after="0" w:line="247" w:lineRule="auto"/>
            </w:pPr>
            <w:r>
              <w:t>农业农村部</w:t>
            </w:r>
          </w:p>
        </w:tc>
        <w:tc>
          <w:tcPr>
            <w:tcW w:type="dxa" w:w="1296"/>
            <w:vAlign w:val="center"/>
            <w:tcMar>
              <w:top w:w="75" w:type="dxa"/>
              <w:start w:w="75" w:type="dxa"/>
              <w:bottom w:w="75" w:type="dxa"/>
              <w:end w:w="75" w:type="dxa"/>
            </w:tcMar>
          </w:tcPr>
          <w:p>
            <w:pPr>
              <w:spacing w:after="0" w:line="247" w:lineRule="auto"/>
            </w:pPr>
            <w:r>
              <w:t>玉米与豆粕</w:t>
            </w:r>
          </w:p>
        </w:tc>
        <w:tc>
          <w:tcPr>
            <w:tcW w:type="dxa" w:w="2462"/>
            <w:vAlign w:val="center"/>
            <w:tcMar>
              <w:top w:w="75" w:type="dxa"/>
              <w:start w:w="75" w:type="dxa"/>
              <w:bottom w:w="75" w:type="dxa"/>
              <w:end w:w="75" w:type="dxa"/>
            </w:tcMar>
          </w:tcPr>
          <w:p>
            <w:pPr>
              <w:spacing w:after="0" w:line="247" w:lineRule="auto"/>
            </w:pPr>
            <w:r>
              <w:t>发布10月8日采样的价格监测，能量与蛋白原料方向分化。</w:t>
            </w:r>
          </w:p>
        </w:tc>
        <w:tc>
          <w:tcPr>
            <w:tcW w:type="dxa" w:w="792"/>
            <w:vAlign w:val="center"/>
            <w:tcMar>
              <w:top w:w="75" w:type="dxa"/>
              <w:start w:w="75" w:type="dxa"/>
              <w:bottom w:w="75" w:type="dxa"/>
              <w:end w:w="75" w:type="dxa"/>
            </w:tcMar>
          </w:tcPr>
          <w:p>
            <w:pPr>
              <w:spacing w:after="0" w:line="247" w:lineRule="auto"/>
              <w:jc w:val="center"/>
            </w:pPr>
            <w:r>
              <w:t>中</w:t>
            </w:r>
          </w:p>
        </w:tc>
        <w:tc>
          <w:tcPr>
            <w:tcW w:type="dxa" w:w="2678"/>
            <w:vAlign w:val="center"/>
            <w:tcMar>
              <w:top w:w="75" w:type="dxa"/>
              <w:start w:w="75" w:type="dxa"/>
              <w:bottom w:w="75" w:type="dxa"/>
              <w:end w:w="75" w:type="dxa"/>
            </w:tcMar>
          </w:tcPr>
          <w:p>
            <w:pPr>
              <w:spacing w:after="0" w:line="247" w:lineRule="auto"/>
            </w:pPr>
            <w:r>
              <w:t>结合到厂价、库存和质量约束评估采购。</w:t>
            </w:r>
          </w:p>
        </w:tc>
      </w:tr>
    </w:tbl>
    <w:p>
      <w:pPr>
        <w:keepNext w:val="0"/>
        <w:spacing w:before="140" w:after="60" w:line="276" w:lineRule="auto"/>
      </w:pPr>
      <w:r>
        <w:rPr>
          <w:rFonts w:ascii="宋体" w:hAnsi="宋体" w:eastAsia="宋体" w:cs="宋体"/>
          <w:b w:val="0"/>
          <w:sz w:val="18"/>
        </w:rPr>
        <w:t>说明：优先级为企业管理建议，与官方风险判断分别记录。以上RASFF均为信息通报，不能概括为边境拒绝或全品类召回；AAFCO实施建议不等同于各州已统一立法。</w:t>
      </w:r>
    </w:p>
    <w:p>
      <w:r>
        <w:br w:type="page"/>
      </w:r>
    </w:p>
    <w:p>
      <w:pPr>
        <w:keepNext/>
        <w:spacing w:before="60" w:after="80" w:line="276" w:lineRule="auto"/>
      </w:pPr>
      <w:r>
        <w:rPr>
          <w:rFonts w:ascii="黑体" w:hAnsi="黑体" w:eastAsia="黑体" w:cs="黑体"/>
          <w:b/>
          <w:sz w:val="30"/>
        </w:rPr>
        <w:t>三、重点资讯与管理建议</w:t>
      </w:r>
    </w:p>
    <w:p>
      <w:pPr>
        <w:keepNext/>
        <w:spacing w:before="40" w:after="60" w:line="276" w:lineRule="auto"/>
      </w:pPr>
      <w:r>
        <w:rPr>
          <w:rFonts w:ascii="黑体" w:hAnsi="黑体" w:eastAsia="黑体" w:cs="黑体"/>
          <w:b/>
          <w:sz w:val="22"/>
        </w:rPr>
        <w:t>1. 猫粮钙磷调整需要配方 检测与标签协同</w:t>
      </w:r>
    </w:p>
    <w:p>
      <w:pPr>
        <w:spacing w:after="60" w:line="276" w:lineRule="auto"/>
      </w:pPr>
      <w:r>
        <w:rPr>
          <w:rFonts w:ascii="黑体" w:hAnsi="黑体" w:eastAsia="黑体" w:cs="黑体"/>
          <w:b/>
          <w:sz w:val="20"/>
        </w:rPr>
        <w:t>日期依据：</w:t>
      </w:r>
      <w:r>
        <w:rPr>
          <w:rFonts w:ascii="宋体" w:hAnsi="宋体" w:eastAsia="宋体" w:cs="宋体"/>
          <w:b w:val="0"/>
          <w:sz w:val="20"/>
        </w:rPr>
        <w:t>AAFCO发布说明为2026年10月13日；所附立场文件标注July 10, 2026 Version 7。</w:t>
      </w:r>
    </w:p>
    <w:p>
      <w:pPr>
        <w:spacing w:after="60" w:line="276" w:lineRule="auto"/>
      </w:pPr>
      <w:r>
        <w:rPr>
          <w:rFonts w:ascii="黑体" w:hAnsi="黑体" w:eastAsia="黑体" w:cs="黑体"/>
          <w:b/>
          <w:sz w:val="20"/>
        </w:rPr>
        <w:t>发生了什么：</w:t>
      </w:r>
      <w:r>
        <w:rPr>
          <w:rFonts w:ascii="宋体" w:hAnsi="宋体" w:eastAsia="宋体" w:cs="宋体"/>
          <w:b w:val="0"/>
          <w:sz w:val="20"/>
        </w:rPr>
        <w:t>AAFCO建议将修订后的猫钙磷营养谱纳入PFLM实施酌情执法框架，适用于旧版和PFLM标签；仅为满足新营养谱而改配方时，建议参与州不单独要求重新注册。</w:t>
      </w:r>
    </w:p>
    <w:p>
      <w:pPr>
        <w:spacing w:after="60" w:line="276" w:lineRule="auto"/>
      </w:pPr>
      <w:r>
        <w:rPr>
          <w:rFonts w:ascii="黑体" w:hAnsi="黑体" w:eastAsia="黑体" w:cs="黑体"/>
          <w:b/>
          <w:sz w:val="20"/>
        </w:rPr>
        <w:t>管理判断：</w:t>
      </w:r>
      <w:r>
        <w:rPr>
          <w:rFonts w:ascii="宋体" w:hAnsi="宋体" w:eastAsia="宋体" w:cs="宋体"/>
          <w:b w:val="0"/>
          <w:sz w:val="20"/>
        </w:rPr>
        <w:t>建议保留各州的注册判断权，不能概括为统一豁免或自行推定全国截止日。</w:t>
      </w:r>
    </w:p>
    <w:p>
      <w:pPr>
        <w:spacing w:after="60" w:line="276" w:lineRule="auto"/>
      </w:pPr>
      <w:r>
        <w:rPr>
          <w:rFonts w:ascii="黑体" w:hAnsi="黑体" w:eastAsia="黑体" w:cs="黑体"/>
          <w:b/>
          <w:sz w:val="20"/>
        </w:rPr>
        <w:t>本周建议：</w:t>
      </w:r>
      <w:r>
        <w:rPr>
          <w:rFonts w:ascii="宋体" w:hAnsi="宋体" w:eastAsia="宋体" w:cs="宋体"/>
          <w:b w:val="0"/>
          <w:sz w:val="20"/>
        </w:rPr>
        <w:t>按产品和销售州梳理配方、Ca/P分析、营养充分性及标签变更证据；与州主管部门确认注册处置。</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S1 AAFCO发布说明；S2 立场文件</w:t>
      </w:r>
    </w:p>
    <w:p>
      <w:pPr>
        <w:keepNext/>
        <w:spacing w:before="40" w:after="60" w:line="276" w:lineRule="auto"/>
      </w:pPr>
      <w:r>
        <w:rPr>
          <w:rFonts w:ascii="黑体" w:hAnsi="黑体" w:eastAsia="黑体" w:cs="黑体"/>
          <w:b/>
          <w:sz w:val="22"/>
        </w:rPr>
        <w:t>2. 沙门氏菌信号跨及豆粕 鱼粉与小麦加工颗粒</w:t>
      </w:r>
    </w:p>
    <w:p>
      <w:pPr>
        <w:spacing w:after="60" w:line="276" w:lineRule="auto"/>
      </w:pPr>
      <w:r>
        <w:rPr>
          <w:rFonts w:ascii="黑体" w:hAnsi="黑体" w:eastAsia="黑体" w:cs="黑体"/>
          <w:b/>
          <w:sz w:val="20"/>
        </w:rPr>
        <w:t>日期依据：</w:t>
      </w:r>
      <w:r>
        <w:rPr>
          <w:rFonts w:ascii="宋体" w:hAnsi="宋体" w:eastAsia="宋体" w:cs="宋体"/>
          <w:b w:val="0"/>
          <w:sz w:val="20"/>
        </w:rPr>
        <w:t>RASFF 2026.9128验证日期为10月14日；2026.9174及2026.9181为10月15日。</w:t>
      </w:r>
    </w:p>
    <w:p>
      <w:pPr>
        <w:spacing w:after="60" w:line="276" w:lineRule="auto"/>
      </w:pPr>
      <w:r>
        <w:rPr>
          <w:rFonts w:ascii="黑体" w:hAnsi="黑体" w:eastAsia="黑体" w:cs="黑体"/>
          <w:b/>
          <w:sz w:val="20"/>
        </w:rPr>
        <w:t>发生了什么：</w:t>
      </w:r>
      <w:r>
        <w:rPr>
          <w:rFonts w:ascii="宋体" w:hAnsi="宋体" w:eastAsia="宋体" w:cs="宋体"/>
          <w:b w:val="0"/>
          <w:sz w:val="20"/>
        </w:rPr>
        <w:t>2026.9128：德国企业自检发现意大利来源豆粕Salmonella Altona阳性，记录热处理及未从通报国分销。2026.9174：西班牙边境检查后放行的摩洛哥鱼粉，5份子样在25 g中检出沙门氏菌，分销信息尚不可用。2026.9181：小麦加工颗粒检出Salmonella Anatum，官方原产地字段列比利时与荷兰，依据为企业自检，记录已识别产品目的地及未从通报国分销。</w:t>
      </w:r>
    </w:p>
    <w:p>
      <w:pPr>
        <w:spacing w:after="60" w:line="276" w:lineRule="auto"/>
      </w:pPr>
      <w:r>
        <w:rPr>
          <w:rFonts w:ascii="黑体" w:hAnsi="黑体" w:eastAsia="黑体" w:cs="黑体"/>
          <w:b/>
          <w:sz w:val="20"/>
        </w:rPr>
        <w:t>管理判断：</w:t>
      </w:r>
      <w:r>
        <w:rPr>
          <w:rFonts w:ascii="宋体" w:hAnsi="宋体" w:eastAsia="宋体" w:cs="宋体"/>
          <w:b w:val="0"/>
          <w:sz w:val="20"/>
        </w:rPr>
        <w:t>三项官方风险均为潜在风险。2026.9174属供关注的信息通报，另两项属需后续跟进的信息通报。不能将分销信息不明写成未流通，也不能以处置记录替代批次放行和后续污染控制证据。</w:t>
      </w:r>
    </w:p>
    <w:p>
      <w:pPr>
        <w:spacing w:after="60" w:line="276" w:lineRule="auto"/>
      </w:pPr>
      <w:r>
        <w:rPr>
          <w:rFonts w:ascii="黑体" w:hAnsi="黑体" w:eastAsia="黑体" w:cs="黑体"/>
          <w:b/>
          <w:sz w:val="20"/>
        </w:rPr>
        <w:t>本周建议：</w:t>
      </w:r>
      <w:r>
        <w:rPr>
          <w:rFonts w:ascii="宋体" w:hAnsi="宋体" w:eastAsia="宋体" w:cs="宋体"/>
          <w:b w:val="0"/>
          <w:sz w:val="20"/>
        </w:rPr>
        <w:t>把豆粕、鱼粉和谷物副产物一并纳入原料及供应商核查；确认关联批次、库存与流向，复核采样方案、热处理验证、运输储存和环境卫生，并按实际风险决定暂缓放行、复检或处置。</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S3 RASFF 2026.9128；S6 2026.9174；S7 2026.9181</w:t>
      </w:r>
    </w:p>
    <w:p>
      <w:r>
        <w:br w:type="page"/>
      </w:r>
    </w:p>
    <w:p>
      <w:pPr>
        <w:keepNext/>
        <w:spacing w:before="60" w:after="80" w:line="276" w:lineRule="auto"/>
      </w:pPr>
      <w:r>
        <w:rPr>
          <w:rFonts w:ascii="黑体" w:hAnsi="黑体" w:eastAsia="黑体" w:cs="黑体"/>
          <w:b/>
          <w:sz w:val="30"/>
        </w:rPr>
        <w:t>四、原料卫生与中国市场</w:t>
      </w:r>
    </w:p>
    <w:p>
      <w:pPr>
        <w:keepNext/>
        <w:spacing w:before="40" w:after="60" w:line="276" w:lineRule="auto"/>
      </w:pPr>
      <w:r>
        <w:rPr>
          <w:rFonts w:ascii="黑体" w:hAnsi="黑体" w:eastAsia="黑体" w:cs="黑体"/>
          <w:b/>
          <w:sz w:val="22"/>
        </w:rPr>
        <w:t>3. 鱼粉肠杆菌科个案提示卫生控制和规格核验</w:t>
      </w:r>
    </w:p>
    <w:p>
      <w:pPr>
        <w:spacing w:after="60" w:line="276" w:lineRule="auto"/>
      </w:pPr>
      <w:r>
        <w:rPr>
          <w:rFonts w:ascii="黑体" w:hAnsi="黑体" w:eastAsia="黑体" w:cs="黑体"/>
          <w:b/>
          <w:sz w:val="20"/>
        </w:rPr>
        <w:t>日期依据：</w:t>
      </w:r>
      <w:r>
        <w:rPr>
          <w:rFonts w:ascii="宋体" w:hAnsi="宋体" w:eastAsia="宋体" w:cs="宋体"/>
          <w:b w:val="0"/>
          <w:sz w:val="20"/>
        </w:rPr>
        <w:t>RASFF 2026.9106的欧盟验证日期为2026年10月13日。</w:t>
      </w:r>
    </w:p>
    <w:p>
      <w:pPr>
        <w:spacing w:after="60" w:line="276" w:lineRule="auto"/>
      </w:pPr>
      <w:r>
        <w:rPr>
          <w:rFonts w:ascii="黑体" w:hAnsi="黑体" w:eastAsia="黑体" w:cs="黑体"/>
          <w:b/>
          <w:sz w:val="20"/>
        </w:rPr>
        <w:t>发生了什么：</w:t>
      </w:r>
      <w:r>
        <w:rPr>
          <w:rFonts w:ascii="宋体" w:hAnsi="宋体" w:eastAsia="宋体" w:cs="宋体"/>
          <w:b w:val="0"/>
          <w:sz w:val="20"/>
        </w:rPr>
        <w:t>西班牙通报秘鲁鱼粉肠杆菌科较高，分析结果为520 CFU/g，列示限值300 CFU/g。通报依据为边境检查后放行，分销限于通报国，记录采取酸处理。</w:t>
      </w:r>
    </w:p>
    <w:p>
      <w:pPr>
        <w:spacing w:after="60" w:line="276" w:lineRule="auto"/>
      </w:pPr>
      <w:r>
        <w:rPr>
          <w:rFonts w:ascii="黑体" w:hAnsi="黑体" w:eastAsia="黑体" w:cs="黑体"/>
          <w:b/>
          <w:sz w:val="20"/>
        </w:rPr>
        <w:t>管理判断：</w:t>
      </w:r>
      <w:r>
        <w:rPr>
          <w:rFonts w:ascii="宋体" w:hAnsi="宋体" w:eastAsia="宋体" w:cs="宋体"/>
          <w:b w:val="0"/>
          <w:sz w:val="20"/>
        </w:rPr>
        <w:t>肠杆菌科指标用于卫生状况评估，本条不能表述为检出沙门氏菌或确认动物发病。300 CFU/g是该通报列示的判定参照，不能脱离产品、市场与法规适用条件推广。</w:t>
      </w:r>
    </w:p>
    <w:p>
      <w:pPr>
        <w:spacing w:after="60" w:line="276" w:lineRule="auto"/>
      </w:pPr>
      <w:r>
        <w:rPr>
          <w:rFonts w:ascii="黑体" w:hAnsi="黑体" w:eastAsia="黑体" w:cs="黑体"/>
          <w:b/>
          <w:sz w:val="20"/>
        </w:rPr>
        <w:t>本周建议：</w:t>
      </w:r>
      <w:r>
        <w:rPr>
          <w:rFonts w:ascii="宋体" w:hAnsi="宋体" w:eastAsia="宋体" w:cs="宋体"/>
          <w:b w:val="0"/>
          <w:sz w:val="20"/>
        </w:rPr>
        <w:t>对关联批次核验适用规格和采样判定方案，检查酸处理工艺、处理效果、运输储存及复检记录；与沙门氏菌控制分别管理。</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S4 RASFF 2026.9106</w:t>
      </w:r>
    </w:p>
    <w:p>
      <w:pPr>
        <w:keepNext/>
        <w:spacing w:before="40" w:after="60" w:line="276" w:lineRule="auto"/>
      </w:pPr>
      <w:r>
        <w:rPr>
          <w:rFonts w:ascii="黑体" w:hAnsi="黑体" w:eastAsia="黑体" w:cs="黑体"/>
          <w:b/>
          <w:sz w:val="22"/>
        </w:rPr>
        <w:t>4. 中国玉米与豆粕监测价格分化</w:t>
      </w:r>
    </w:p>
    <w:p>
      <w:pPr>
        <w:spacing w:after="60" w:line="276" w:lineRule="auto"/>
      </w:pPr>
      <w:r>
        <w:rPr>
          <w:rFonts w:ascii="黑体" w:hAnsi="黑体" w:eastAsia="黑体" w:cs="黑体"/>
          <w:b/>
          <w:sz w:val="20"/>
        </w:rPr>
        <w:t>日期依据：</w:t>
      </w:r>
      <w:r>
        <w:rPr>
          <w:rFonts w:ascii="宋体" w:hAnsi="宋体" w:eastAsia="宋体" w:cs="宋体"/>
          <w:b w:val="0"/>
          <w:sz w:val="20"/>
        </w:rPr>
        <w:t>农业农村部畜牧兽医局于2026年10月14日发布，实际采集日为10月8日。</w:t>
      </w:r>
    </w:p>
    <w:p>
      <w:pPr>
        <w:spacing w:after="60" w:line="276" w:lineRule="auto"/>
      </w:pPr>
      <w:r>
        <w:rPr>
          <w:rFonts w:ascii="黑体" w:hAnsi="黑体" w:eastAsia="黑体" w:cs="黑体"/>
          <w:b/>
          <w:sz w:val="20"/>
        </w:rPr>
        <w:t>发生了什么：</w:t>
      </w:r>
      <w:r>
        <w:rPr>
          <w:rFonts w:ascii="宋体" w:hAnsi="宋体" w:eastAsia="宋体" w:cs="宋体"/>
          <w:b w:val="0"/>
          <w:sz w:val="20"/>
        </w:rPr>
        <w:t>全国玉米均价2.43元/公斤，环比下降0.4%；豆粕3.43元/公斤，环比上涨0.3%。育肥猪配合饲料3.37元/公斤、蛋鸡配合饲料3.25元/公斤，环比持平；肉鸡配合饲料3.50元/公斤，环比上涨0.3%。</w:t>
      </w:r>
    </w:p>
    <w:p>
      <w:pPr>
        <w:spacing w:after="60" w:line="276" w:lineRule="auto"/>
      </w:pPr>
      <w:r>
        <w:rPr>
          <w:rFonts w:ascii="黑体" w:hAnsi="黑体" w:eastAsia="黑体" w:cs="黑体"/>
          <w:b/>
          <w:sz w:val="20"/>
        </w:rPr>
        <w:t>管理判断：</w:t>
      </w:r>
      <w:r>
        <w:rPr>
          <w:rFonts w:ascii="宋体" w:hAnsi="宋体" w:eastAsia="宋体" w:cs="宋体"/>
          <w:b w:val="0"/>
          <w:sz w:val="20"/>
        </w:rPr>
        <w:t>全国集贸均价反映已采样市场，不是10月16日即时现货、企业到厂价或宠物食品专用原料报价。蛋白与能量原料方向分化，仍需考虑营养约束、供应稳定和质量风险。</w:t>
      </w:r>
    </w:p>
    <w:p>
      <w:pPr>
        <w:spacing w:after="60" w:line="276" w:lineRule="auto"/>
      </w:pPr>
      <w:r>
        <w:rPr>
          <w:rFonts w:ascii="黑体" w:hAnsi="黑体" w:eastAsia="黑体" w:cs="黑体"/>
          <w:b/>
          <w:sz w:val="20"/>
        </w:rPr>
        <w:t>本周建议：</w:t>
      </w:r>
      <w:r>
        <w:rPr>
          <w:rFonts w:ascii="宋体" w:hAnsi="宋体" w:eastAsia="宋体" w:cs="宋体"/>
          <w:b w:val="0"/>
          <w:sz w:val="20"/>
        </w:rPr>
        <w:t>更新实际采购价、库存天数及替代原料成本模型；换源和替代配方同步核对营养、霉菌毒素、微生物和供应商资质，避免以降本代替质量验证。</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S5 农业农村部畜牧兽医局</w:t>
      </w:r>
    </w:p>
    <w:p>
      <w:r>
        <w:br w:type="page"/>
      </w:r>
    </w:p>
    <w:p>
      <w:pPr>
        <w:keepNext/>
        <w:spacing w:before="60" w:after="80" w:line="276" w:lineRule="auto"/>
      </w:pPr>
      <w:r>
        <w:rPr>
          <w:rFonts w:ascii="黑体" w:hAnsi="黑体" w:eastAsia="黑体" w:cs="黑体"/>
          <w:b/>
          <w:sz w:val="30"/>
        </w:rPr>
        <w:t>五、中国市场补充观察</w:t>
      </w:r>
    </w:p>
    <w:p>
      <w:pPr>
        <w:spacing w:after="60" w:line="276" w:lineRule="auto"/>
      </w:pPr>
      <w:r>
        <w:rPr>
          <w:rFonts w:ascii="黑体" w:hAnsi="黑体" w:eastAsia="黑体" w:cs="黑体"/>
          <w:b/>
          <w:sz w:val="20"/>
        </w:rPr>
        <w:t>监管与官方监测：</w:t>
      </w:r>
      <w:r>
        <w:rPr>
          <w:rFonts w:ascii="宋体" w:hAnsi="宋体" w:eastAsia="宋体" w:cs="宋体"/>
          <w:b w:val="0"/>
          <w:sz w:val="20"/>
        </w:rPr>
        <w:t>农业农村部10月14日发布的10月8日监测显示，玉米与豆粕价格方向分化。采购应结合企业到厂价、库存和质量要求，不能用全国集贸均价代替宠物食品专用原料报价（S5）。</w:t>
      </w:r>
    </w:p>
    <w:p>
      <w:pPr>
        <w:spacing w:after="60" w:line="276" w:lineRule="auto"/>
      </w:pPr>
      <w:r>
        <w:rPr>
          <w:rFonts w:ascii="黑体" w:hAnsi="黑体" w:eastAsia="黑体" w:cs="黑体"/>
          <w:b/>
          <w:sz w:val="20"/>
        </w:rPr>
        <w:t>标准与技术观察：</w:t>
      </w:r>
      <w:r>
        <w:rPr>
          <w:rFonts w:ascii="宋体" w:hAnsi="宋体" w:eastAsia="宋体" w:cs="宋体"/>
          <w:b w:val="0"/>
          <w:sz w:val="20"/>
        </w:rPr>
        <w:t>本期未选取可直接改变中国宠物食品或饲料配方、标签与检测要求的新增标准。企业仍应逐项核对适用产品和市场，避免把人用食品标准、科研结果或征求意见直接当作饲料准入依据。</w:t>
      </w:r>
    </w:p>
    <w:p>
      <w:pPr>
        <w:spacing w:after="60" w:line="276" w:lineRule="auto"/>
      </w:pPr>
      <w:r>
        <w:rPr>
          <w:rFonts w:ascii="黑体" w:hAnsi="黑体" w:eastAsia="黑体" w:cs="黑体"/>
          <w:b/>
          <w:sz w:val="20"/>
        </w:rPr>
        <w:t>产能与竞争：</w:t>
      </w:r>
      <w:r>
        <w:rPr>
          <w:rFonts w:ascii="宋体" w:hAnsi="宋体" w:eastAsia="宋体" w:cs="宋体"/>
          <w:b w:val="0"/>
          <w:sz w:val="20"/>
        </w:rPr>
        <w:t>10月14日《宠经说》报道江苏等地宠物制造项目的备案、环评和工程采购进展。这属于专业媒体产业观察；备案与规划产能不等同实际投产或市场份额变化。供应商评审应进一步核对许可、产线能力、质量体系及交付记录（S9）。</w:t>
      </w:r>
    </w:p>
    <w:p>
      <w:pPr>
        <w:spacing w:after="60" w:line="276" w:lineRule="auto"/>
      </w:pPr>
      <w:r>
        <w:rPr>
          <w:rFonts w:ascii="黑体" w:hAnsi="黑体" w:eastAsia="黑体" w:cs="黑体"/>
          <w:b/>
          <w:sz w:val="20"/>
        </w:rPr>
        <w:t>产品与消费：</w:t>
      </w:r>
      <w:r>
        <w:rPr>
          <w:rFonts w:ascii="宋体" w:hAnsi="宋体" w:eastAsia="宋体" w:cs="宋体"/>
          <w:b w:val="0"/>
          <w:sz w:val="20"/>
        </w:rPr>
        <w:t>潍坊晚报10月12日报道，潍坊宠物产业供应链选品大会计划于10月16—18日举行，涉及原材料、制造和渠道对接。展会信息可用于拓展供应商线索，不能替代产品营养、功效、安全性及销量证据（S10）。</w:t>
      </w:r>
    </w:p>
    <w:p>
      <w:pPr>
        <w:spacing w:after="60" w:line="276" w:lineRule="auto"/>
      </w:pPr>
      <w:r>
        <w:rPr>
          <w:rFonts w:ascii="黑体" w:hAnsi="黑体" w:eastAsia="黑体" w:cs="黑体"/>
          <w:b/>
          <w:sz w:val="20"/>
        </w:rPr>
        <w:t>高关注消费风险：</w:t>
      </w:r>
      <w:r>
        <w:rPr>
          <w:rFonts w:ascii="宋体" w:hAnsi="宋体" w:eastAsia="宋体" w:cs="宋体"/>
          <w:b w:val="0"/>
          <w:sz w:val="20"/>
        </w:rPr>
        <w:t>本期未将缺少当期事实依据的旧投诉或广告测评列为已确认质量事件。虫害、受潮或动物不适线索应分别保留产品批次、储运条件、检测结果与企业回应；投诉与产品致病因果应分开判断。</w:t>
      </w:r>
    </w:p>
    <w:p>
      <w:pPr>
        <w:keepNext/>
        <w:spacing w:before="60" w:after="80" w:line="276" w:lineRule="auto"/>
      </w:pPr>
      <w:r>
        <w:rPr>
          <w:rFonts w:ascii="黑体" w:hAnsi="黑体" w:eastAsia="黑体" w:cs="黑体"/>
          <w:b/>
          <w:sz w:val="30"/>
        </w:rPr>
        <w:t>六、本周建议启动的管理动作</w:t>
      </w:r>
    </w:p>
    <w:p>
      <w:pPr>
        <w:keepNext w:val="0"/>
        <w:spacing w:before="0" w:after="40" w:line="276" w:lineRule="auto"/>
      </w:pPr>
      <w:r>
        <w:rPr>
          <w:rFonts w:ascii="宋体" w:hAnsi="宋体" w:eastAsia="宋体" w:cs="宋体"/>
          <w:b w:val="0"/>
          <w:sz w:val="20"/>
        </w:rPr>
        <w:t>1. 建立猫粮钙磷营养谱变更清单，连接配方、检测、标签和目标州注册要求。</w:t>
      </w:r>
    </w:p>
    <w:p>
      <w:pPr>
        <w:keepNext w:val="0"/>
        <w:spacing w:before="0" w:after="40" w:line="276" w:lineRule="auto"/>
      </w:pPr>
      <w:r>
        <w:rPr>
          <w:rFonts w:ascii="宋体" w:hAnsi="宋体" w:eastAsia="宋体" w:cs="宋体"/>
          <w:b w:val="0"/>
          <w:sz w:val="20"/>
        </w:rPr>
        <w:t>2. 结合RASFF 2026.9128、9174、9181核对豆粕、鱼粉、谷物副产物的关联批次、库存、流向及杀菌与再污染控制。</w:t>
      </w:r>
    </w:p>
    <w:p>
      <w:pPr>
        <w:keepNext w:val="0"/>
        <w:spacing w:before="0" w:after="40" w:line="276" w:lineRule="auto"/>
      </w:pPr>
      <w:r>
        <w:rPr>
          <w:rFonts w:ascii="宋体" w:hAnsi="宋体" w:eastAsia="宋体" w:cs="宋体"/>
          <w:b w:val="0"/>
          <w:sz w:val="20"/>
        </w:rPr>
        <w:t>3. 以RASFF 2026.9106核对鱼粉规格、采样方案、酸处理和复检结果。</w:t>
      </w:r>
    </w:p>
    <w:p>
      <w:pPr>
        <w:keepNext w:val="0"/>
        <w:spacing w:before="0" w:after="40" w:line="276" w:lineRule="auto"/>
      </w:pPr>
      <w:r>
        <w:rPr>
          <w:rFonts w:ascii="宋体" w:hAnsi="宋体" w:eastAsia="宋体" w:cs="宋体"/>
          <w:b w:val="0"/>
          <w:sz w:val="20"/>
        </w:rPr>
        <w:t>4. 更新玉米与豆粕到厂成本、库存和替代原料约束，换源时同步完成质量审核。</w:t>
      </w:r>
    </w:p>
    <w:p>
      <w:pPr>
        <w:keepNext w:val="0"/>
        <w:spacing w:before="0" w:after="40" w:line="276" w:lineRule="auto"/>
      </w:pPr>
      <w:r>
        <w:rPr>
          <w:rFonts w:ascii="宋体" w:hAnsi="宋体" w:eastAsia="宋体" w:cs="宋体"/>
          <w:b w:val="0"/>
          <w:sz w:val="20"/>
        </w:rPr>
        <w:t>5. 以RASFF 2026.9171核对禽源加工动物蛋白的物种声明与检测证据；官方风险为不严重，合规判断仍须结合具体用途和目标市场。</w:t>
      </w:r>
    </w:p>
    <w:p>
      <w:r>
        <w:br w:type="page"/>
      </w:r>
    </w:p>
    <w:p>
      <w:pPr>
        <w:keepNext/>
        <w:spacing w:before="60" w:after="80" w:line="276" w:lineRule="auto"/>
      </w:pPr>
      <w:r>
        <w:rPr>
          <w:rFonts w:ascii="黑体" w:hAnsi="黑体" w:eastAsia="黑体" w:cs="黑体"/>
          <w:b/>
          <w:sz w:val="30"/>
        </w:rPr>
        <w:t>七、信息来源与使用说明</w:t>
      </w:r>
    </w:p>
    <w:tbl>
      <w:tblPr>
        <w:tblStyle w:val="afb"/>
        <w:tblW w:type="dxa" w:w="8957"/>
        <w:jc w:val="center"/>
        <w:tblLayout w:type="fixed"/>
        <w:tblLook w:firstColumn="1" w:firstRow="1" w:lastColumn="0" w:lastRow="0" w:noHBand="0" w:noVBand="1" w:val="04A0"/>
      </w:tblPr>
      <w:tblGrid>
        <w:gridCol w:w="1224"/>
        <w:gridCol w:w="4392"/>
        <w:gridCol w:w="1872"/>
        <w:gridCol w:w="1469"/>
      </w:tblGrid>
      <w:tr>
        <w:trPr>
          <w:tblHeader w:val="true"/>
          <w:cantSplit/>
        </w:trPr>
        <w:tc>
          <w:tcPr>
            <w:tcW w:type="dxa" w:w="1224"/>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编号/日期</w:t>
            </w:r>
          </w:p>
        </w:tc>
        <w:tc>
          <w:tcPr>
            <w:tcW w:type="dxa" w:w="439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来源与主题</w:t>
            </w:r>
          </w:p>
        </w:tc>
        <w:tc>
          <w:tcPr>
            <w:tcW w:type="dxa" w:w="187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性质</w:t>
            </w:r>
          </w:p>
        </w:tc>
        <w:tc>
          <w:tcPr>
            <w:tcW w:type="dxa" w:w="1469"/>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链接</w:t>
            </w:r>
          </w:p>
        </w:tc>
      </w:tr>
      <w:tr>
        <w:trPr>
          <w:cantSplit/>
        </w:trPr>
        <w:tc>
          <w:tcPr>
            <w:tcW w:type="dxa" w:w="1224"/>
            <w:vAlign w:val="center"/>
            <w:tcMar>
              <w:top w:w="75" w:type="dxa"/>
              <w:start w:w="75" w:type="dxa"/>
              <w:bottom w:w="75" w:type="dxa"/>
              <w:end w:w="75" w:type="dxa"/>
            </w:tcMar>
          </w:tcPr>
          <w:p>
            <w:pPr>
              <w:spacing w:after="0" w:line="247" w:lineRule="auto"/>
              <w:jc w:val="center"/>
            </w:pPr>
            <w:r>
              <w:t>S1</w:t>
            </w:r>
            <w:r>
              <w:br/>
              <w:t>2026-10-13</w:t>
            </w:r>
          </w:p>
        </w:tc>
        <w:tc>
          <w:tcPr>
            <w:tcW w:type="dxa" w:w="4392"/>
            <w:vAlign w:val="center"/>
            <w:tcMar>
              <w:top w:w="75" w:type="dxa"/>
              <w:start w:w="75" w:type="dxa"/>
              <w:bottom w:w="75" w:type="dxa"/>
              <w:end w:w="75" w:type="dxa"/>
            </w:tcMar>
          </w:tcPr>
          <w:p>
            <w:pPr>
              <w:spacing w:after="0" w:line="247" w:lineRule="auto"/>
            </w:pPr>
            <w:r>
              <w:t>Ca/P Enforcement Update</w:t>
            </w:r>
          </w:p>
        </w:tc>
        <w:tc>
          <w:tcPr>
            <w:tcW w:type="dxa" w:w="1872"/>
            <w:vAlign w:val="center"/>
            <w:tcMar>
              <w:top w:w="75" w:type="dxa"/>
              <w:start w:w="75" w:type="dxa"/>
              <w:bottom w:w="75" w:type="dxa"/>
              <w:end w:w="75" w:type="dxa"/>
            </w:tcMar>
          </w:tcPr>
          <w:p>
            <w:pPr>
              <w:spacing w:after="0" w:line="247" w:lineRule="auto"/>
            </w:pPr>
            <w:r>
              <w:t>AAFCO发布说明</w:t>
            </w:r>
          </w:p>
        </w:tc>
        <w:tc>
          <w:tcPr>
            <w:tcW w:type="dxa" w:w="1469"/>
            <w:vAlign w:val="center"/>
            <w:tcMar>
              <w:top w:w="75" w:type="dxa"/>
              <w:start w:w="75" w:type="dxa"/>
              <w:bottom w:w="75" w:type="dxa"/>
              <w:end w:w="75" w:type="dxa"/>
            </w:tcMar>
          </w:tcPr>
          <w:p>
            <w:pPr>
              <w:spacing w:after="0" w:line="240" w:lineRule="auto"/>
              <w:jc w:val="center"/>
            </w:pPr>
            <w:r/>
            <w:hyperlink r:id="rId24">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S2</w:t>
            </w:r>
            <w:r>
              <w:br/>
              <w:t>2026-07-10版本</w:t>
            </w:r>
          </w:p>
        </w:tc>
        <w:tc>
          <w:tcPr>
            <w:tcW w:type="dxa" w:w="4392"/>
            <w:vAlign w:val="center"/>
            <w:tcMar>
              <w:top w:w="75" w:type="dxa"/>
              <w:start w:w="75" w:type="dxa"/>
              <w:bottom w:w="75" w:type="dxa"/>
              <w:end w:w="75" w:type="dxa"/>
            </w:tcMar>
          </w:tcPr>
          <w:p>
            <w:pPr>
              <w:spacing w:after="0" w:line="247" w:lineRule="auto"/>
            </w:pPr>
            <w:r>
              <w:t>猫钙磷营养谱实施酌情执法立场</w:t>
            </w:r>
          </w:p>
        </w:tc>
        <w:tc>
          <w:tcPr>
            <w:tcW w:type="dxa" w:w="1872"/>
            <w:vAlign w:val="center"/>
            <w:tcMar>
              <w:top w:w="75" w:type="dxa"/>
              <w:start w:w="75" w:type="dxa"/>
              <w:bottom w:w="75" w:type="dxa"/>
              <w:end w:w="75" w:type="dxa"/>
            </w:tcMar>
          </w:tcPr>
          <w:p>
            <w:pPr>
              <w:spacing w:after="0" w:line="247" w:lineRule="auto"/>
            </w:pPr>
            <w:r>
              <w:t>AAFCO立场文件</w:t>
            </w:r>
          </w:p>
        </w:tc>
        <w:tc>
          <w:tcPr>
            <w:tcW w:type="dxa" w:w="1469"/>
            <w:vAlign w:val="center"/>
            <w:tcMar>
              <w:top w:w="75" w:type="dxa"/>
              <w:start w:w="75" w:type="dxa"/>
              <w:bottom w:w="75" w:type="dxa"/>
              <w:end w:w="75" w:type="dxa"/>
            </w:tcMar>
          </w:tcPr>
          <w:p>
            <w:pPr>
              <w:spacing w:after="0" w:line="240" w:lineRule="auto"/>
              <w:jc w:val="center"/>
            </w:pPr>
            <w:r/>
            <w:hyperlink r:id="rId15">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S3</w:t>
            </w:r>
            <w:r>
              <w:br/>
              <w:t>2026-10-14</w:t>
            </w:r>
          </w:p>
        </w:tc>
        <w:tc>
          <w:tcPr>
            <w:tcW w:type="dxa" w:w="4392"/>
            <w:vAlign w:val="center"/>
            <w:tcMar>
              <w:top w:w="75" w:type="dxa"/>
              <w:start w:w="75" w:type="dxa"/>
              <w:bottom w:w="75" w:type="dxa"/>
              <w:end w:w="75" w:type="dxa"/>
            </w:tcMar>
          </w:tcPr>
          <w:p>
            <w:pPr>
              <w:spacing w:after="0" w:line="247" w:lineRule="auto"/>
            </w:pPr>
            <w:r>
              <w:t>RASFF 2026.9128 豆粕沙门氏菌</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16">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S4</w:t>
            </w:r>
            <w:r>
              <w:br/>
              <w:t>2026-10-13</w:t>
            </w:r>
          </w:p>
        </w:tc>
        <w:tc>
          <w:tcPr>
            <w:tcW w:type="dxa" w:w="4392"/>
            <w:vAlign w:val="center"/>
            <w:tcMar>
              <w:top w:w="75" w:type="dxa"/>
              <w:start w:w="75" w:type="dxa"/>
              <w:bottom w:w="75" w:type="dxa"/>
              <w:end w:w="75" w:type="dxa"/>
            </w:tcMar>
          </w:tcPr>
          <w:p>
            <w:pPr>
              <w:spacing w:after="0" w:line="247" w:lineRule="auto"/>
            </w:pPr>
            <w:r>
              <w:t>RASFF 2026.9106 鱼粉肠杆菌科</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21">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S5</w:t>
            </w:r>
            <w:r>
              <w:br/>
              <w:t>2026-10-14</w:t>
            </w:r>
          </w:p>
        </w:tc>
        <w:tc>
          <w:tcPr>
            <w:tcW w:type="dxa" w:w="4392"/>
            <w:vAlign w:val="center"/>
            <w:tcMar>
              <w:top w:w="75" w:type="dxa"/>
              <w:start w:w="75" w:type="dxa"/>
              <w:bottom w:w="75" w:type="dxa"/>
              <w:end w:w="75" w:type="dxa"/>
            </w:tcMar>
          </w:tcPr>
          <w:p>
            <w:pPr>
              <w:spacing w:after="0" w:line="247" w:lineRule="auto"/>
            </w:pPr>
            <w:r>
              <w:t>10月第1周畜产品和饲料集贸市场价格</w:t>
            </w:r>
          </w:p>
        </w:tc>
        <w:tc>
          <w:tcPr>
            <w:tcW w:type="dxa" w:w="1872"/>
            <w:vAlign w:val="center"/>
            <w:tcMar>
              <w:top w:w="75" w:type="dxa"/>
              <w:start w:w="75" w:type="dxa"/>
              <w:bottom w:w="75" w:type="dxa"/>
              <w:end w:w="75" w:type="dxa"/>
            </w:tcMar>
          </w:tcPr>
          <w:p>
            <w:pPr>
              <w:spacing w:after="0" w:line="247" w:lineRule="auto"/>
            </w:pPr>
            <w:r>
              <w:t>中国官方监测</w:t>
            </w:r>
          </w:p>
        </w:tc>
        <w:tc>
          <w:tcPr>
            <w:tcW w:type="dxa" w:w="1469"/>
            <w:vAlign w:val="center"/>
            <w:tcMar>
              <w:top w:w="75" w:type="dxa"/>
              <w:start w:w="75" w:type="dxa"/>
              <w:bottom w:w="75" w:type="dxa"/>
              <w:end w:w="75" w:type="dxa"/>
            </w:tcMar>
          </w:tcPr>
          <w:p>
            <w:pPr>
              <w:spacing w:after="0" w:line="240" w:lineRule="auto"/>
              <w:jc w:val="center"/>
            </w:pPr>
            <w:r/>
            <w:hyperlink r:id="rId22">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S6</w:t>
            </w:r>
            <w:r>
              <w:br/>
              <w:t>2026-10-15</w:t>
            </w:r>
          </w:p>
        </w:tc>
        <w:tc>
          <w:tcPr>
            <w:tcW w:type="dxa" w:w="4392"/>
            <w:vAlign w:val="center"/>
            <w:tcMar>
              <w:top w:w="75" w:type="dxa"/>
              <w:start w:w="75" w:type="dxa"/>
              <w:bottom w:w="75" w:type="dxa"/>
              <w:end w:w="75" w:type="dxa"/>
            </w:tcMar>
          </w:tcPr>
          <w:p>
            <w:pPr>
              <w:spacing w:after="0" w:line="247" w:lineRule="auto"/>
            </w:pPr>
            <w:r>
              <w:t>RASFF 2026.9174 鱼粉沙门氏菌</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23">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S7</w:t>
            </w:r>
            <w:r>
              <w:br/>
              <w:t>2026-10-15</w:t>
            </w:r>
          </w:p>
        </w:tc>
        <w:tc>
          <w:tcPr>
            <w:tcW w:type="dxa" w:w="4392"/>
            <w:vAlign w:val="center"/>
            <w:tcMar>
              <w:top w:w="75" w:type="dxa"/>
              <w:start w:w="75" w:type="dxa"/>
              <w:bottom w:w="75" w:type="dxa"/>
              <w:end w:w="75" w:type="dxa"/>
            </w:tcMar>
          </w:tcPr>
          <w:p>
            <w:pPr>
              <w:spacing w:after="0" w:line="247" w:lineRule="auto"/>
            </w:pPr>
            <w:r>
              <w:t>RASFF 2026.9181 小麦加工颗粒沙门氏菌</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31">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S8</w:t>
            </w:r>
            <w:r>
              <w:br/>
              <w:t>2026-10-15</w:t>
            </w:r>
          </w:p>
        </w:tc>
        <w:tc>
          <w:tcPr>
            <w:tcW w:type="dxa" w:w="4392"/>
            <w:vAlign w:val="center"/>
            <w:tcMar>
              <w:top w:w="75" w:type="dxa"/>
              <w:start w:w="75" w:type="dxa"/>
              <w:bottom w:w="75" w:type="dxa"/>
              <w:end w:w="75" w:type="dxa"/>
            </w:tcMar>
          </w:tcPr>
          <w:p>
            <w:pPr>
              <w:spacing w:after="0" w:line="247" w:lineRule="auto"/>
            </w:pPr>
            <w:r>
              <w:t>RASFF 2026.9171 禽源蛋白物种DNA</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32">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S9</w:t>
            </w:r>
            <w:r>
              <w:br/>
              <w:t>2026-10-14</w:t>
            </w:r>
          </w:p>
        </w:tc>
        <w:tc>
          <w:tcPr>
            <w:tcW w:type="dxa" w:w="4392"/>
            <w:vAlign w:val="center"/>
            <w:tcMar>
              <w:top w:w="75" w:type="dxa"/>
              <w:start w:w="75" w:type="dxa"/>
              <w:bottom w:w="75" w:type="dxa"/>
              <w:end w:w="75" w:type="dxa"/>
            </w:tcMar>
          </w:tcPr>
          <w:p>
            <w:pPr>
              <w:spacing w:after="0" w:line="247" w:lineRule="auto"/>
            </w:pPr>
            <w:r>
              <w:t>宠物制造项目进展观察</w:t>
            </w:r>
          </w:p>
        </w:tc>
        <w:tc>
          <w:tcPr>
            <w:tcW w:type="dxa" w:w="1872"/>
            <w:vAlign w:val="center"/>
            <w:tcMar>
              <w:top w:w="75" w:type="dxa"/>
              <w:start w:w="75" w:type="dxa"/>
              <w:bottom w:w="75" w:type="dxa"/>
              <w:end w:w="75" w:type="dxa"/>
            </w:tcMar>
          </w:tcPr>
          <w:p>
            <w:pPr>
              <w:spacing w:after="0" w:line="247" w:lineRule="auto"/>
            </w:pPr>
            <w:r>
              <w:t>宠经说专业媒体</w:t>
            </w:r>
          </w:p>
        </w:tc>
        <w:tc>
          <w:tcPr>
            <w:tcW w:type="dxa" w:w="1469"/>
            <w:vAlign w:val="center"/>
            <w:tcMar>
              <w:top w:w="75" w:type="dxa"/>
              <w:start w:w="75" w:type="dxa"/>
              <w:bottom w:w="75" w:type="dxa"/>
              <w:end w:w="75" w:type="dxa"/>
            </w:tcMar>
          </w:tcPr>
          <w:p>
            <w:pPr>
              <w:spacing w:after="0" w:line="240" w:lineRule="auto"/>
              <w:jc w:val="center"/>
            </w:pPr>
            <w:r/>
            <w:hyperlink r:id="rId33">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S10</w:t>
            </w:r>
            <w:r>
              <w:br/>
              <w:t>2026-10-12</w:t>
            </w:r>
          </w:p>
        </w:tc>
        <w:tc>
          <w:tcPr>
            <w:tcW w:type="dxa" w:w="4392"/>
            <w:vAlign w:val="center"/>
            <w:tcMar>
              <w:top w:w="75" w:type="dxa"/>
              <w:start w:w="75" w:type="dxa"/>
              <w:bottom w:w="75" w:type="dxa"/>
              <w:end w:w="75" w:type="dxa"/>
            </w:tcMar>
          </w:tcPr>
          <w:p>
            <w:pPr>
              <w:spacing w:after="0" w:line="247" w:lineRule="auto"/>
            </w:pPr>
            <w:r>
              <w:t>潍坊宠物产业供应链选品大会预告</w:t>
            </w:r>
          </w:p>
        </w:tc>
        <w:tc>
          <w:tcPr>
            <w:tcW w:type="dxa" w:w="1872"/>
            <w:vAlign w:val="center"/>
            <w:tcMar>
              <w:top w:w="75" w:type="dxa"/>
              <w:start w:w="75" w:type="dxa"/>
              <w:bottom w:w="75" w:type="dxa"/>
              <w:end w:w="75" w:type="dxa"/>
            </w:tcMar>
          </w:tcPr>
          <w:p>
            <w:pPr>
              <w:spacing w:after="0" w:line="247" w:lineRule="auto"/>
            </w:pPr>
            <w:r>
              <w:t>潍坊晚报经齐鲁网</w:t>
            </w:r>
          </w:p>
        </w:tc>
        <w:tc>
          <w:tcPr>
            <w:tcW w:type="dxa" w:w="1469"/>
            <w:vAlign w:val="center"/>
            <w:tcMar>
              <w:top w:w="75" w:type="dxa"/>
              <w:start w:w="75" w:type="dxa"/>
              <w:bottom w:w="75" w:type="dxa"/>
              <w:end w:w="75" w:type="dxa"/>
            </w:tcMar>
          </w:tcPr>
          <w:p>
            <w:pPr>
              <w:spacing w:after="0" w:line="240" w:lineRule="auto"/>
              <w:jc w:val="center"/>
            </w:pPr>
            <w:r/>
            <w:hyperlink r:id="rId34">
              <w:r>
                <w:rPr>
                  <w:color w:val="0563C1"/>
                  <w:u w:val="single"/>
                  <w:rFonts w:eastAsia="宋体" w:ascii="宋体" w:hAnsi="宋体" w:cs="宋体"/>
                  <w:sz w:val="15"/>
                </w:rPr>
                <w:t>打开来源</w:t>
              </w:r>
            </w:hyperlink>
          </w:p>
        </w:tc>
      </w:tr>
    </w:tbl>
    <w:p>
      <w:pPr>
        <w:keepNext w:val="0"/>
        <w:spacing w:before="140" w:after="60" w:line="276" w:lineRule="auto"/>
      </w:pPr>
      <w:r>
        <w:rPr>
          <w:rFonts w:ascii="宋体" w:hAnsi="宋体" w:eastAsia="宋体" w:cs="宋体"/>
          <w:b w:val="0"/>
          <w:sz w:val="19"/>
        </w:rPr>
        <w:t>本刊依据可核实的公开信息编制；当期发布时刻或适用范围无法确认的事项未纳入具体合规结论。通报和产业观察不代表对所有产品、企业或市场作出统一判断。
具体措施应结合目标市场、产品用途、批次关联、现行法规及检测证据。风险快表中的企业行动优先级与官方通报风险分类分开理解。</w:t>
      </w:r>
    </w:p>
    <w:p>
      <w:pPr>
        <w:keepNext w:val="0"/>
        <w:spacing w:before="120" w:after="60" w:line="276" w:lineRule="auto"/>
        <w:jc w:val="center"/>
      </w:pPr>
      <w:r>
        <w:rPr>
          <w:rFonts w:ascii="宋体" w:hAnsi="宋体" w:eastAsia="宋体" w:cs="宋体"/>
          <w:b w:val="0"/>
          <w:sz w:val="18"/>
        </w:rPr>
        <w:t>----------------------------------------结束----------------------------------------</w:t>
      </w:r>
    </w:p>
    <w:sectPr w:rsidR="00C95045" w:rsidRPr="00694756" w:rsidSect="00A203B4">
      <w:headerReference w:type="default" r:id="rId17"/>
      <w:footerReference w:type="default" r:id="rId18"/>
      <w:pgSz w:w="11906" w:h="16838"/>
      <w:pgMar w:top="936" w:right="1080" w:bottom="93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EA966" w14:textId="77777777" w:rsidR="007B3093" w:rsidRDefault="007B3093" w:rsidP="00A9502E">
      <w:pPr>
        <w:spacing w:before="0"/>
      </w:pPr>
      <w:r>
        <w:separator/>
      </w:r>
    </w:p>
  </w:endnote>
  <w:endnote w:type="continuationSeparator" w:id="0">
    <w:p w14:paraId="10C1EC84" w14:textId="77777777" w:rsidR="007B3093" w:rsidRDefault="007B3093" w:rsidP="00A9502E">
      <w:pPr>
        <w:spacing w:before="0"/>
      </w:pPr>
      <w:r>
        <w:continuationSeparator/>
      </w:r>
    </w:p>
  </w:endnote>
</w:endnotes>
</file>

<file path=word/fontTable.xml><?xml version="1.0" encoding="utf-8"?>
<w:fonts xmlns:w="http://schemas.openxmlformats.org/wordprocessingml/2006/main">
  <w:font w:name="Symbol">
    <w:charset w:val="00"/>
  </w:font>
  <w:font w:name="Wingdings">
    <w:charset w:val="00"/>
  </w:font>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07361"/>
      <w:docPartObj>
        <w:docPartGallery w:val="Page Numbers (Bottom of Page)"/>
        <w:docPartUnique/>
      </w:docPartObj>
    </w:sdtPr>
    <w:sdtEndPr>
      <w:rPr>
        <w:noProof/>
      </w:rPr>
    </w:sdtEndPr>
    <w:sdtContent>
      <w:p w14:paraId="4249988E" w14:textId="51DB7573" w:rsidR="00B34DFF" w:rsidRDefault="00B34DFF">
        <w:pPr>
          <w:pStyle w:val="a3"/>
          <w:jc w:val="right"/>
        </w:pPr>
        <w:r>
          <w:fldChar w:fldCharType="begin"/>
        </w:r>
        <w:r>
          <w:instrText xml:space="preserve"> PAGE   \* MERGEFORMAT </w:instrText>
        </w:r>
        <w:r>
          <w:fldChar w:fldCharType="separate"/>
        </w:r>
        <w:r>
          <w:rPr>
            <w:noProof/>
          </w:rPr>
          <w:t>2</w:t>
        </w:r>
        <w:r>
          <w:rPr>
            <w:noProof/>
          </w:rPr>
          <w:fldChar w:fldCharType="end"/>
        </w:r>
      </w:p>
    </w:sdtContent>
  </w:sdt>
  <w:p w14:paraId="2B558783" w14:textId="77777777" w:rsidR="00B34DFF" w:rsidRDefault="00B34DF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B3983" w14:textId="77777777" w:rsidR="007B3093" w:rsidRDefault="007B3093" w:rsidP="00A9502E">
      <w:pPr>
        <w:spacing w:before="0"/>
      </w:pPr>
      <w:r>
        <w:separator/>
      </w:r>
    </w:p>
  </w:footnote>
  <w:footnote w:type="continuationSeparator" w:id="0">
    <w:p w14:paraId="29DFC4E0" w14:textId="77777777" w:rsidR="007B3093" w:rsidRDefault="007B3093" w:rsidP="00A9502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F8F5" w14:textId="599A2B6D" w:rsidR="00A9502E" w:rsidRDefault="00A9502E">
    <w:pPr>
      <w:pStyle w:val="af9"/>
    </w:pPr>
    <w:r w:rsidRPr="00A9502E">
      <w:rPr>
        <w:noProof/>
      </w:rPr>
      <w:drawing>
        <wp:inline distT="0" distB="0" distL="0" distR="0" wp14:anchorId="2B18C46E" wp14:editId="15BAD590">
          <wp:extent cx="1880436" cy="885825"/>
          <wp:effectExtent l="0" t="0" r="5715" b="0"/>
          <wp:docPr id="11" name="Picture 10">
            <a:extLst xmlns:a="http://schemas.openxmlformats.org/drawingml/2006/main">
              <a:ext uri="{FF2B5EF4-FFF2-40B4-BE49-F238E27FC236}">
                <a16:creationId xmlns:a16="http://schemas.microsoft.com/office/drawing/2014/main" id="{85775F0B-6334-2F46-9B7D-AA2C76DF64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85775F0B-6334-2F46-9B7D-AA2C76DF647A}"/>
                      </a:ext>
                    </a:extLst>
                  </pic:cNvPr>
                  <pic:cNvPicPr>
                    <a:picLocks noChangeAspect="1"/>
                  </pic:cNvPicPr>
                </pic:nvPicPr>
                <pic:blipFill>
                  <a:blip r:embed="rId1" cstate="email">
                    <a:extLst>
                      <a:ext uri="{28A0092B-C50C-407E-A947-70E740481C1C}">
                        <a14:useLocalDpi xmlns:a14="http://schemas.microsoft.com/office/drawing/2010/main"/>
                      </a:ext>
                    </a:extLst>
                  </a:blip>
                  <a:stretch>
                    <a:fillRect/>
                  </a:stretch>
                </pic:blipFill>
                <pic:spPr>
                  <a:xfrm>
                    <a:off x="0" y="0"/>
                    <a:ext cx="1885981" cy="888437"/>
                  </a:xfrm>
                  <a:prstGeom prst="rect">
                    <a:avLst/>
                  </a:prstGeom>
                </pic:spPr>
              </pic:pic>
            </a:graphicData>
          </a:graphic>
        </wp:inline>
      </w:drawing>
    </w:r>
  </w:p>
  <w:p w14:paraId="6B864576" w14:textId="77777777" w:rsidR="00A9502E" w:rsidRDefault="00A9502E">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1AB1"/>
    <w:multiLevelType w:val="hybridMultilevel"/>
    <w:tmpl w:val="921E20BA"/>
    <w:lvl w:ilvl="0" w:tplc="147C37AE">
      <w:start w:val="2"/>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6CC7A47"/>
    <w:multiLevelType w:val="hybridMultilevel"/>
    <w:tmpl w:val="46021D8E"/>
    <w:lvl w:ilvl="0" w:tplc="DE5870DC">
      <w:start w:val="3"/>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9292059"/>
    <w:multiLevelType w:val="hybridMultilevel"/>
    <w:tmpl w:val="B7525452"/>
    <w:lvl w:ilvl="0" w:tplc="528EA63C">
      <w:start w:val="1"/>
      <w:numFmt w:val="decimal"/>
      <w:lvlText w:val="%1."/>
      <w:lvlJc w:val="left"/>
      <w:pPr>
        <w:ind w:left="360" w:hanging="360"/>
      </w:pPr>
      <w:rPr>
        <w:rFonts w:hint="default" w:ascii="黑体" w:hAnsi="黑体" w:eastAsia="黑体" w:cs="黑体"/>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D9842BE"/>
    <w:multiLevelType w:val="hybridMultilevel"/>
    <w:tmpl w:val="8352426C"/>
    <w:lvl w:ilvl="0" w:tplc="5E58E630">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76E794B"/>
    <w:multiLevelType w:val="hybridMultilevel"/>
    <w:tmpl w:val="11BCB492"/>
    <w:lvl w:ilvl="0" w:tplc="6B08A12E">
      <w:start w:val="8"/>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0CD0E09"/>
    <w:multiLevelType w:val="hybridMultilevel"/>
    <w:tmpl w:val="2E6A0BB6"/>
    <w:lvl w:ilvl="0" w:tplc="AB8C9454">
      <w:start w:val="1"/>
      <w:numFmt w:val="decimal"/>
      <w:pStyle w:val="Numbered1"/>
      <w:lvlText w:val="%1."/>
      <w:lvlJc w:val="left"/>
      <w:pPr>
        <w:ind w:left="1080" w:hanging="360"/>
      </w:pPr>
      <w:rPr>
        <w:rFonts w:hint="default" w:ascii="宋体" w:hAnsi="宋体" w:eastAsia="宋体" w:cs="宋体"/>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4B6843"/>
    <w:multiLevelType w:val="multilevel"/>
    <w:tmpl w:val="9BB01E42"/>
    <w:lvl w:ilvl="0">
      <w:start w:val="1"/>
      <w:numFmt w:val="decimal"/>
      <w:pStyle w:val="1"/>
      <w:lvlText w:val="%1"/>
      <w:lvlJc w:val="left"/>
      <w:pPr>
        <w:ind w:left="578" w:hanging="578"/>
      </w:pPr>
      <w:rPr>
        <w:rFonts w:hint="default" w:ascii="宋体" w:hAnsi="宋体" w:eastAsia="宋体" w:cs="宋体"/>
      </w:rPr>
    </w:lvl>
    <w:lvl w:ilvl="1">
      <w:start w:val="1"/>
      <w:numFmt w:val="decimal"/>
      <w:pStyle w:val="2"/>
      <w:lvlText w:val="%1.%2"/>
      <w:lvlJc w:val="left"/>
      <w:pPr>
        <w:ind w:left="576" w:hanging="576"/>
      </w:pPr>
      <w:rPr>
        <w:rFonts w:hint="default" w:ascii="宋体" w:hAnsi="宋体" w:eastAsia="宋体" w:cs="宋体"/>
      </w:rPr>
    </w:lvl>
    <w:lvl w:ilvl="2">
      <w:start w:val="1"/>
      <w:numFmt w:val="decimal"/>
      <w:pStyle w:val="3"/>
      <w:lvlText w:val="%1.%2.%3"/>
      <w:lvlJc w:val="left"/>
      <w:pPr>
        <w:ind w:left="720" w:hanging="720"/>
      </w:pPr>
      <w:rPr>
        <w:rFonts w:hint="default" w:ascii="宋体" w:hAnsi="宋体" w:eastAsia="宋体" w:cs="宋体"/>
      </w:rPr>
    </w:lvl>
    <w:lvl w:ilvl="3">
      <w:start w:val="1"/>
      <w:numFmt w:val="decimal"/>
      <w:pStyle w:val="4"/>
      <w:lvlText w:val="%1.%2.%3.%4"/>
      <w:lvlJc w:val="left"/>
      <w:pPr>
        <w:ind w:left="864" w:hanging="864"/>
      </w:pPr>
      <w:rPr>
        <w:rFonts w:hint="default" w:ascii="宋体" w:hAnsi="宋体" w:eastAsia="宋体" w:cs="宋体"/>
      </w:rPr>
    </w:lvl>
    <w:lvl w:ilvl="4">
      <w:start w:val="1"/>
      <w:numFmt w:val="decimal"/>
      <w:pStyle w:val="5"/>
      <w:lvlText w:val="%1.%2.%3.%4.%5"/>
      <w:lvlJc w:val="left"/>
      <w:pPr>
        <w:ind w:left="1008" w:hanging="1008"/>
      </w:pPr>
      <w:rPr>
        <w:rFonts w:hint="default" w:ascii="宋体" w:hAnsi="宋体" w:eastAsia="宋体" w:cs="宋体"/>
      </w:rPr>
    </w:lvl>
    <w:lvl w:ilvl="5">
      <w:start w:val="1"/>
      <w:numFmt w:val="decimal"/>
      <w:pStyle w:val="6"/>
      <w:lvlText w:val="%1.%2.%3.%4.%5.%6"/>
      <w:lvlJc w:val="left"/>
      <w:pPr>
        <w:ind w:left="1152" w:hanging="1152"/>
      </w:pPr>
      <w:rPr>
        <w:rFonts w:hint="default" w:ascii="宋体" w:hAnsi="宋体" w:eastAsia="宋体" w:cs="宋体"/>
      </w:rPr>
    </w:lvl>
    <w:lvl w:ilvl="6">
      <w:start w:val="1"/>
      <w:numFmt w:val="decimal"/>
      <w:pStyle w:val="7"/>
      <w:lvlText w:val="%1.%2.%3.%4.%5.%6.%7"/>
      <w:lvlJc w:val="left"/>
      <w:pPr>
        <w:ind w:left="1296" w:hanging="1296"/>
      </w:pPr>
      <w:rPr>
        <w:rFonts w:hint="default" w:ascii="宋体" w:hAnsi="宋体" w:eastAsia="宋体" w:cs="宋体"/>
      </w:rPr>
    </w:lvl>
    <w:lvl w:ilvl="7">
      <w:start w:val="1"/>
      <w:numFmt w:val="decimal"/>
      <w:pStyle w:val="8"/>
      <w:lvlText w:val="%1.%2.%3.%4.%5.%6.%7.%8"/>
      <w:lvlJc w:val="left"/>
      <w:pPr>
        <w:ind w:left="1440" w:hanging="1440"/>
      </w:pPr>
      <w:rPr>
        <w:rFonts w:hint="default" w:ascii="宋体" w:hAnsi="宋体" w:eastAsia="宋体" w:cs="宋体"/>
      </w:rPr>
    </w:lvl>
    <w:lvl w:ilvl="8">
      <w:start w:val="1"/>
      <w:numFmt w:val="decimal"/>
      <w:pStyle w:val="9"/>
      <w:lvlText w:val="%1.%2.%3.%4.%5.%6.%7.%8.%9"/>
      <w:lvlJc w:val="left"/>
      <w:pPr>
        <w:ind w:left="1584" w:hanging="1584"/>
      </w:pPr>
      <w:rPr>
        <w:rFonts w:hint="default" w:ascii="宋体" w:hAnsi="宋体" w:eastAsia="宋体" w:cs="宋体"/>
      </w:rPr>
    </w:lvl>
  </w:abstractNum>
  <w:abstractNum w:abstractNumId="7" w15:restartNumberingAfterBreak="0">
    <w:nsid w:val="25376C5A"/>
    <w:multiLevelType w:val="hybridMultilevel"/>
    <w:tmpl w:val="DF647C0E"/>
    <w:lvl w:ilvl="0" w:tplc="9AB82920">
      <w:start w:val="5"/>
      <w:numFmt w:val="decimal"/>
      <w:lvlText w:val="%1"/>
      <w:lvlJc w:val="left"/>
      <w:pPr>
        <w:ind w:left="360" w:hanging="360"/>
      </w:pPr>
      <w:rPr>
        <w:rFonts w:hint="default" w:ascii="宋体" w:hAnsi="宋体" w:eastAsia="宋体" w:cs="宋体"/>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F3F39FE"/>
    <w:multiLevelType w:val="hybridMultilevel"/>
    <w:tmpl w:val="1D8035DC"/>
    <w:lvl w:ilvl="0" w:tplc="FE7458D4">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3294A5A"/>
    <w:multiLevelType w:val="hybridMultilevel"/>
    <w:tmpl w:val="D6F86318"/>
    <w:lvl w:ilvl="0" w:tplc="0504ED22">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D1724F7"/>
    <w:multiLevelType w:val="hybridMultilevel"/>
    <w:tmpl w:val="38B25A2C"/>
    <w:lvl w:ilvl="0" w:tplc="6CFA0F4C">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511E3A15"/>
    <w:multiLevelType w:val="hybridMultilevel"/>
    <w:tmpl w:val="94FE716C"/>
    <w:lvl w:ilvl="0" w:tplc="BB3A3018">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5A4A1DC9"/>
    <w:multiLevelType w:val="hybridMultilevel"/>
    <w:tmpl w:val="22F47766"/>
    <w:lvl w:ilvl="0" w:tplc="19B48822">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5F175213"/>
    <w:multiLevelType w:val="multilevel"/>
    <w:tmpl w:val="100C001D"/>
    <w:styleLink w:val="SGS"/>
    <w:lvl w:ilvl="0">
      <w:start w:val="1"/>
      <w:numFmt w:val="bullet"/>
      <w:lvlText w:val="■"/>
      <w:lvlJc w:val="left"/>
      <w:pPr>
        <w:ind w:left="360" w:hanging="360"/>
      </w:pPr>
      <w:rPr>
        <w:rFonts w:ascii="宋体" w:hAnsi="宋体" w:hint="default" w:eastAsia="宋体" w:cs="宋体"/>
        <w:color w:val="FF9900"/>
      </w:rPr>
    </w:lvl>
    <w:lvl w:ilvl="1">
      <w:start w:val="1"/>
      <w:numFmt w:val="bullet"/>
      <w:lvlText w:val="■"/>
      <w:lvlJc w:val="left"/>
      <w:pPr>
        <w:ind w:left="720" w:hanging="360"/>
      </w:pPr>
      <w:rPr>
        <w:rFonts w:ascii="宋体" w:hAnsi="宋体" w:hint="default" w:eastAsia="宋体" w:cs="宋体"/>
        <w:color w:val="FF9900"/>
        <w:sz w:val="16"/>
      </w:rPr>
    </w:lvl>
    <w:lvl w:ilvl="2">
      <w:start w:val="1"/>
      <w:numFmt w:val="bullet"/>
      <w:lvlText w:val="•"/>
      <w:lvlJc w:val="left"/>
      <w:pPr>
        <w:ind w:left="1080" w:hanging="360"/>
      </w:pPr>
      <w:rPr>
        <w:rFonts w:ascii="宋体" w:hAnsi="宋体" w:hint="default" w:eastAsia="宋体" w:cs="宋体"/>
        <w:color w:val="000000" w:themeColor="text1"/>
      </w:rPr>
    </w:lvl>
    <w:lvl w:ilvl="3">
      <w:start w:val="1"/>
      <w:numFmt w:val="bullet"/>
      <w:lvlText w:val="▪"/>
      <w:lvlJc w:val="left"/>
      <w:pPr>
        <w:ind w:left="1440" w:hanging="360"/>
      </w:pPr>
      <w:rPr>
        <w:rFonts w:ascii="宋体" w:hAnsi="宋体" w:hint="default" w:eastAsia="宋体" w:cs="宋体"/>
        <w:color w:val="000000" w:themeColor="text1"/>
      </w:rPr>
    </w:lvl>
    <w:lvl w:ilvl="4">
      <w:start w:val="1"/>
      <w:numFmt w:val="bullet"/>
      <w:lvlText w:val="-"/>
      <w:lvlJc w:val="left"/>
      <w:pPr>
        <w:ind w:left="1800" w:hanging="360"/>
      </w:pPr>
      <w:rPr>
        <w:rFonts w:ascii="宋体" w:hAnsi="宋体" w:hint="default" w:eastAsia="宋体" w:cs="宋体"/>
        <w:color w:val="000000" w:themeColor="text1"/>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10C4F32"/>
    <w:multiLevelType w:val="hybridMultilevel"/>
    <w:tmpl w:val="84508CAC"/>
    <w:lvl w:ilvl="0" w:tplc="D5FE2826">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38C5117"/>
    <w:multiLevelType w:val="multilevel"/>
    <w:tmpl w:val="100C001D"/>
    <w:styleLink w:val="Style1"/>
    <w:lvl w:ilvl="0">
      <w:start w:val="1"/>
      <w:numFmt w:val="bullet"/>
      <w:lvlText w:val="■"/>
      <w:lvlJc w:val="left"/>
      <w:pPr>
        <w:ind w:left="360" w:hanging="360"/>
      </w:pPr>
      <w:rPr>
        <w:rFonts w:ascii="宋体" w:hAnsi="宋体" w:hint="default" w:eastAsia="宋体" w:cs="宋体"/>
        <w:color w:val="FF9900"/>
      </w:rPr>
    </w:lvl>
    <w:lvl w:ilvl="1">
      <w:start w:val="1"/>
      <w:numFmt w:val="bullet"/>
      <w:lvlText w:val="■"/>
      <w:lvlJc w:val="left"/>
      <w:pPr>
        <w:ind w:left="720" w:hanging="360"/>
      </w:pPr>
      <w:rPr>
        <w:rFonts w:ascii="宋体" w:hAnsi="宋体" w:hint="default" w:eastAsia="宋体" w:cs="宋体"/>
        <w:color w:val="FF9900"/>
        <w:sz w:val="16"/>
      </w:rPr>
    </w:lvl>
    <w:lvl w:ilvl="2">
      <w:start w:val="1"/>
      <w:numFmt w:val="bullet"/>
      <w:lvlText w:val="•"/>
      <w:lvlJc w:val="left"/>
      <w:pPr>
        <w:ind w:left="1080" w:hanging="360"/>
      </w:pPr>
      <w:rPr>
        <w:rFonts w:ascii="宋体" w:hAnsi="宋体" w:hint="default" w:eastAsia="宋体" w:cs="宋体"/>
        <w:color w:val="000000" w:themeColor="text1"/>
      </w:rPr>
    </w:lvl>
    <w:lvl w:ilvl="3">
      <w:start w:val="1"/>
      <w:numFmt w:val="bullet"/>
      <w:lvlText w:val="▪"/>
      <w:lvlJc w:val="left"/>
      <w:pPr>
        <w:ind w:left="1440" w:hanging="360"/>
      </w:pPr>
      <w:rPr>
        <w:rFonts w:ascii="宋体" w:hAnsi="宋体" w:hint="default" w:eastAsia="宋体" w:cs="宋体"/>
        <w:color w:val="000000" w:themeColor="text1"/>
      </w:rPr>
    </w:lvl>
    <w:lvl w:ilvl="4">
      <w:start w:val="1"/>
      <w:numFmt w:val="bullet"/>
      <w:lvlText w:val="-"/>
      <w:lvlJc w:val="left"/>
      <w:pPr>
        <w:ind w:left="1800" w:hanging="360"/>
      </w:pPr>
      <w:rPr>
        <w:rFonts w:ascii="宋体" w:hAnsi="宋体" w:hint="default" w:eastAsia="宋体" w:cs="宋体"/>
        <w:color w:val="000000" w:themeColor="text1"/>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827002F"/>
    <w:multiLevelType w:val="hybridMultilevel"/>
    <w:tmpl w:val="82C666C2"/>
    <w:lvl w:ilvl="0" w:tplc="4A143A22">
      <w:start w:val="2"/>
      <w:numFmt w:val="decimal"/>
      <w:lvlText w:val="%1"/>
      <w:lvlJc w:val="left"/>
      <w:pPr>
        <w:ind w:left="720" w:hanging="360"/>
      </w:pPr>
      <w:rPr>
        <w:rFonts w:hint="default" w:ascii="宋体" w:hAnsi="宋体" w:eastAsia="宋体" w:cs="宋体"/>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1E195A"/>
    <w:multiLevelType w:val="hybridMultilevel"/>
    <w:tmpl w:val="3356B02C"/>
    <w:lvl w:ilvl="0" w:tplc="50F8C110">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70D15105"/>
    <w:multiLevelType w:val="hybridMultilevel"/>
    <w:tmpl w:val="79F64A5A"/>
    <w:lvl w:ilvl="0" w:tplc="D5FA7D64">
      <w:start w:val="1"/>
      <w:numFmt w:val="bullet"/>
      <w:pStyle w:val="List1"/>
      <w:lvlText w:val=""/>
      <w:lvlJc w:val="left"/>
      <w:pPr>
        <w:ind w:left="720" w:hanging="360"/>
      </w:pPr>
      <w:rPr>
        <w:rFonts w:ascii="Symbol" w:hAnsi="Symbol" w:hint="default" w:eastAsia="Symbol" w:cs="Symbol"/>
      </w:rPr>
    </w:lvl>
    <w:lvl w:ilvl="1" w:tplc="08090003" w:tentative="1">
      <w:start w:val="1"/>
      <w:numFmt w:val="bullet"/>
      <w:lvlText w:val="o"/>
      <w:lvlJc w:val="left"/>
      <w:pPr>
        <w:ind w:left="1440" w:hanging="360"/>
      </w:pPr>
      <w:rPr>
        <w:rFonts w:ascii="宋体" w:hAnsi="宋体" w:cs="宋体" w:hint="default" w:eastAsia="宋体"/>
      </w:rPr>
    </w:lvl>
    <w:lvl w:ilvl="2" w:tplc="08090005" w:tentative="1">
      <w:start w:val="1"/>
      <w:numFmt w:val="bullet"/>
      <w:lvlText w:val=""/>
      <w:lvlJc w:val="left"/>
      <w:pPr>
        <w:ind w:left="2160" w:hanging="360"/>
      </w:pPr>
      <w:rPr>
        <w:rFonts w:ascii="Wingdings" w:hAnsi="Wingdings" w:hint="default" w:eastAsia="Wingdings" w:cs="Wingdings"/>
      </w:rPr>
    </w:lvl>
    <w:lvl w:ilvl="3" w:tplc="08090001" w:tentative="1">
      <w:start w:val="1"/>
      <w:numFmt w:val="bullet"/>
      <w:lvlText w:val=""/>
      <w:lvlJc w:val="left"/>
      <w:pPr>
        <w:ind w:left="2880" w:hanging="360"/>
      </w:pPr>
      <w:rPr>
        <w:rFonts w:ascii="Symbol" w:hAnsi="Symbol" w:hint="default" w:eastAsia="Symbol" w:cs="Symbol"/>
      </w:rPr>
    </w:lvl>
    <w:lvl w:ilvl="4" w:tplc="08090003" w:tentative="1">
      <w:start w:val="1"/>
      <w:numFmt w:val="bullet"/>
      <w:lvlText w:val="o"/>
      <w:lvlJc w:val="left"/>
      <w:pPr>
        <w:ind w:left="3600" w:hanging="360"/>
      </w:pPr>
      <w:rPr>
        <w:rFonts w:ascii="宋体" w:hAnsi="宋体" w:cs="宋体" w:hint="default" w:eastAsia="宋体"/>
      </w:rPr>
    </w:lvl>
    <w:lvl w:ilvl="5" w:tplc="08090005" w:tentative="1">
      <w:start w:val="1"/>
      <w:numFmt w:val="bullet"/>
      <w:lvlText w:val=""/>
      <w:lvlJc w:val="left"/>
      <w:pPr>
        <w:ind w:left="4320" w:hanging="360"/>
      </w:pPr>
      <w:rPr>
        <w:rFonts w:ascii="Wingdings" w:hAnsi="Wingdings" w:hint="default" w:eastAsia="Wingdings" w:cs="Wingdings"/>
      </w:rPr>
    </w:lvl>
    <w:lvl w:ilvl="6" w:tplc="08090001" w:tentative="1">
      <w:start w:val="1"/>
      <w:numFmt w:val="bullet"/>
      <w:lvlText w:val=""/>
      <w:lvlJc w:val="left"/>
      <w:pPr>
        <w:ind w:left="5040" w:hanging="360"/>
      </w:pPr>
      <w:rPr>
        <w:rFonts w:ascii="Symbol" w:hAnsi="Symbol" w:hint="default" w:eastAsia="Symbol" w:cs="Symbol"/>
      </w:rPr>
    </w:lvl>
    <w:lvl w:ilvl="7" w:tplc="08090003" w:tentative="1">
      <w:start w:val="1"/>
      <w:numFmt w:val="bullet"/>
      <w:lvlText w:val="o"/>
      <w:lvlJc w:val="left"/>
      <w:pPr>
        <w:ind w:left="5760" w:hanging="360"/>
      </w:pPr>
      <w:rPr>
        <w:rFonts w:ascii="宋体" w:hAnsi="宋体" w:cs="宋体" w:hint="default" w:eastAsia="宋体"/>
      </w:rPr>
    </w:lvl>
    <w:lvl w:ilvl="8" w:tplc="08090005" w:tentative="1">
      <w:start w:val="1"/>
      <w:numFmt w:val="bullet"/>
      <w:lvlText w:val=""/>
      <w:lvlJc w:val="left"/>
      <w:pPr>
        <w:ind w:left="6480" w:hanging="360"/>
      </w:pPr>
      <w:rPr>
        <w:rFonts w:ascii="Wingdings" w:hAnsi="Wingdings" w:hint="default" w:eastAsia="Wingdings" w:cs="Wingdings"/>
      </w:rPr>
    </w:lvl>
  </w:abstractNum>
  <w:abstractNum w:abstractNumId="19" w15:restartNumberingAfterBreak="0">
    <w:nsid w:val="76167438"/>
    <w:multiLevelType w:val="hybridMultilevel"/>
    <w:tmpl w:val="13D400FE"/>
    <w:lvl w:ilvl="0" w:tplc="C6E8660A">
      <w:start w:val="3"/>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7D85D9B"/>
    <w:multiLevelType w:val="hybridMultilevel"/>
    <w:tmpl w:val="6826FB3C"/>
    <w:lvl w:ilvl="0" w:tplc="65781C92">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79144477"/>
    <w:multiLevelType w:val="hybridMultilevel"/>
    <w:tmpl w:val="6CEC001C"/>
    <w:lvl w:ilvl="0" w:tplc="BACEED9E">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62343580">
    <w:abstractNumId w:val="6"/>
  </w:num>
  <w:num w:numId="2" w16cid:durableId="2062556140">
    <w:abstractNumId w:val="18"/>
  </w:num>
  <w:num w:numId="3" w16cid:durableId="720207222">
    <w:abstractNumId w:val="5"/>
  </w:num>
  <w:num w:numId="4" w16cid:durableId="624040483">
    <w:abstractNumId w:val="15"/>
  </w:num>
  <w:num w:numId="5" w16cid:durableId="1367104030">
    <w:abstractNumId w:val="13"/>
  </w:num>
  <w:num w:numId="6" w16cid:durableId="1558011995">
    <w:abstractNumId w:val="5"/>
  </w:num>
  <w:num w:numId="7" w16cid:durableId="1477408203">
    <w:abstractNumId w:val="18"/>
  </w:num>
  <w:num w:numId="8" w16cid:durableId="1869486266">
    <w:abstractNumId w:val="6"/>
  </w:num>
  <w:num w:numId="9" w16cid:durableId="332882075">
    <w:abstractNumId w:val="6"/>
  </w:num>
  <w:num w:numId="10" w16cid:durableId="541752175">
    <w:abstractNumId w:val="6"/>
  </w:num>
  <w:num w:numId="11" w16cid:durableId="59602614">
    <w:abstractNumId w:val="6"/>
  </w:num>
  <w:num w:numId="12" w16cid:durableId="1738360202">
    <w:abstractNumId w:val="6"/>
  </w:num>
  <w:num w:numId="13" w16cid:durableId="1886453761">
    <w:abstractNumId w:val="6"/>
  </w:num>
  <w:num w:numId="14" w16cid:durableId="1813478220">
    <w:abstractNumId w:val="6"/>
  </w:num>
  <w:num w:numId="15" w16cid:durableId="1392078643">
    <w:abstractNumId w:val="6"/>
  </w:num>
  <w:num w:numId="16" w16cid:durableId="85620886">
    <w:abstractNumId w:val="6"/>
  </w:num>
  <w:num w:numId="17" w16cid:durableId="292178531">
    <w:abstractNumId w:val="6"/>
  </w:num>
  <w:num w:numId="18" w16cid:durableId="547960984">
    <w:abstractNumId w:val="18"/>
  </w:num>
  <w:num w:numId="19" w16cid:durableId="262153012">
    <w:abstractNumId w:val="5"/>
  </w:num>
  <w:num w:numId="20" w16cid:durableId="198930355">
    <w:abstractNumId w:val="6"/>
  </w:num>
  <w:num w:numId="21" w16cid:durableId="2107114912">
    <w:abstractNumId w:val="15"/>
  </w:num>
  <w:num w:numId="22" w16cid:durableId="2131387687">
    <w:abstractNumId w:val="13"/>
  </w:num>
  <w:num w:numId="23" w16cid:durableId="617223694">
    <w:abstractNumId w:val="6"/>
  </w:num>
  <w:num w:numId="24" w16cid:durableId="308174482">
    <w:abstractNumId w:val="11"/>
  </w:num>
  <w:num w:numId="25" w16cid:durableId="1829781595">
    <w:abstractNumId w:val="4"/>
  </w:num>
  <w:num w:numId="26" w16cid:durableId="2021006674">
    <w:abstractNumId w:val="12"/>
  </w:num>
  <w:num w:numId="27" w16cid:durableId="955986422">
    <w:abstractNumId w:val="14"/>
  </w:num>
  <w:num w:numId="28" w16cid:durableId="429206661">
    <w:abstractNumId w:val="17"/>
  </w:num>
  <w:num w:numId="29" w16cid:durableId="1451507811">
    <w:abstractNumId w:val="7"/>
  </w:num>
  <w:num w:numId="30" w16cid:durableId="1811554898">
    <w:abstractNumId w:val="1"/>
  </w:num>
  <w:num w:numId="31" w16cid:durableId="789667805">
    <w:abstractNumId w:val="19"/>
  </w:num>
  <w:num w:numId="32" w16cid:durableId="931353020">
    <w:abstractNumId w:val="6"/>
  </w:num>
  <w:num w:numId="33" w16cid:durableId="1117529531">
    <w:abstractNumId w:val="6"/>
  </w:num>
  <w:num w:numId="34" w16cid:durableId="150172186">
    <w:abstractNumId w:val="6"/>
  </w:num>
  <w:num w:numId="35" w16cid:durableId="2052875427">
    <w:abstractNumId w:val="6"/>
  </w:num>
  <w:num w:numId="36" w16cid:durableId="195625374">
    <w:abstractNumId w:val="6"/>
  </w:num>
  <w:num w:numId="37" w16cid:durableId="2134783426">
    <w:abstractNumId w:val="0"/>
  </w:num>
  <w:num w:numId="38" w16cid:durableId="1803503662">
    <w:abstractNumId w:val="6"/>
  </w:num>
  <w:num w:numId="39" w16cid:durableId="641812255">
    <w:abstractNumId w:val="10"/>
  </w:num>
  <w:num w:numId="40" w16cid:durableId="1249341533">
    <w:abstractNumId w:val="9"/>
  </w:num>
  <w:num w:numId="41" w16cid:durableId="1900240095">
    <w:abstractNumId w:val="20"/>
  </w:num>
  <w:num w:numId="42" w16cid:durableId="1827277005">
    <w:abstractNumId w:val="21"/>
  </w:num>
  <w:num w:numId="43" w16cid:durableId="1036351446">
    <w:abstractNumId w:val="3"/>
  </w:num>
  <w:num w:numId="44" w16cid:durableId="1474062415">
    <w:abstractNumId w:val="8"/>
  </w:num>
  <w:num w:numId="45" w16cid:durableId="17701299">
    <w:abstractNumId w:val="16"/>
  </w:num>
  <w:num w:numId="46" w16cid:durableId="319504811">
    <w:abstractNumId w:val="6"/>
  </w:num>
  <w:num w:numId="47" w16cid:durableId="333266917">
    <w:abstractNumId w:val="6"/>
  </w:num>
  <w:num w:numId="48" w16cid:durableId="175211997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E9F"/>
    <w:rsid w:val="0001524D"/>
    <w:rsid w:val="0005001B"/>
    <w:rsid w:val="00051572"/>
    <w:rsid w:val="000551F0"/>
    <w:rsid w:val="00063B07"/>
    <w:rsid w:val="000723E1"/>
    <w:rsid w:val="00072972"/>
    <w:rsid w:val="000732FD"/>
    <w:rsid w:val="00075016"/>
    <w:rsid w:val="00080335"/>
    <w:rsid w:val="00086974"/>
    <w:rsid w:val="000944A8"/>
    <w:rsid w:val="0009785F"/>
    <w:rsid w:val="000B0FED"/>
    <w:rsid w:val="000B2B7F"/>
    <w:rsid w:val="000B4456"/>
    <w:rsid w:val="000B50AA"/>
    <w:rsid w:val="000B5B1E"/>
    <w:rsid w:val="000B5F22"/>
    <w:rsid w:val="000C4601"/>
    <w:rsid w:val="000D4E4F"/>
    <w:rsid w:val="001000FA"/>
    <w:rsid w:val="00124F98"/>
    <w:rsid w:val="001404F4"/>
    <w:rsid w:val="00146D57"/>
    <w:rsid w:val="00155265"/>
    <w:rsid w:val="0017011F"/>
    <w:rsid w:val="00174F75"/>
    <w:rsid w:val="00175800"/>
    <w:rsid w:val="0019769E"/>
    <w:rsid w:val="001B0020"/>
    <w:rsid w:val="001B03D9"/>
    <w:rsid w:val="001B189F"/>
    <w:rsid w:val="001B6633"/>
    <w:rsid w:val="001B702B"/>
    <w:rsid w:val="001B7436"/>
    <w:rsid w:val="001C685E"/>
    <w:rsid w:val="001D0B06"/>
    <w:rsid w:val="001D49ED"/>
    <w:rsid w:val="001E3D3B"/>
    <w:rsid w:val="00205687"/>
    <w:rsid w:val="00206087"/>
    <w:rsid w:val="00216EC5"/>
    <w:rsid w:val="00223E52"/>
    <w:rsid w:val="00226ED0"/>
    <w:rsid w:val="00233BF0"/>
    <w:rsid w:val="00237DAE"/>
    <w:rsid w:val="00241F99"/>
    <w:rsid w:val="00242237"/>
    <w:rsid w:val="00256A14"/>
    <w:rsid w:val="00267266"/>
    <w:rsid w:val="00274058"/>
    <w:rsid w:val="00276085"/>
    <w:rsid w:val="002874F5"/>
    <w:rsid w:val="00291BE2"/>
    <w:rsid w:val="002A66F6"/>
    <w:rsid w:val="002A6E6E"/>
    <w:rsid w:val="002C0321"/>
    <w:rsid w:val="002C2F8E"/>
    <w:rsid w:val="002C6BB9"/>
    <w:rsid w:val="002D6D5B"/>
    <w:rsid w:val="002E0A86"/>
    <w:rsid w:val="00307AF3"/>
    <w:rsid w:val="003108BB"/>
    <w:rsid w:val="003133DC"/>
    <w:rsid w:val="0032700C"/>
    <w:rsid w:val="0033744B"/>
    <w:rsid w:val="00347880"/>
    <w:rsid w:val="00356A35"/>
    <w:rsid w:val="00362537"/>
    <w:rsid w:val="00366301"/>
    <w:rsid w:val="003870CE"/>
    <w:rsid w:val="00392802"/>
    <w:rsid w:val="00396417"/>
    <w:rsid w:val="003D383C"/>
    <w:rsid w:val="003E236B"/>
    <w:rsid w:val="003E4636"/>
    <w:rsid w:val="003F1603"/>
    <w:rsid w:val="003F5070"/>
    <w:rsid w:val="0040190E"/>
    <w:rsid w:val="0040795B"/>
    <w:rsid w:val="004107E1"/>
    <w:rsid w:val="004131DE"/>
    <w:rsid w:val="00414E5D"/>
    <w:rsid w:val="00421688"/>
    <w:rsid w:val="00437072"/>
    <w:rsid w:val="00437399"/>
    <w:rsid w:val="004408A2"/>
    <w:rsid w:val="004449B6"/>
    <w:rsid w:val="004504A4"/>
    <w:rsid w:val="00464CCD"/>
    <w:rsid w:val="00473D8E"/>
    <w:rsid w:val="00474F6D"/>
    <w:rsid w:val="00491008"/>
    <w:rsid w:val="004A7626"/>
    <w:rsid w:val="004B7A3A"/>
    <w:rsid w:val="004C40AF"/>
    <w:rsid w:val="004D4292"/>
    <w:rsid w:val="004E2C22"/>
    <w:rsid w:val="004F045E"/>
    <w:rsid w:val="004F14A2"/>
    <w:rsid w:val="00500259"/>
    <w:rsid w:val="0050261E"/>
    <w:rsid w:val="00513219"/>
    <w:rsid w:val="0051487F"/>
    <w:rsid w:val="00520378"/>
    <w:rsid w:val="00523446"/>
    <w:rsid w:val="00533155"/>
    <w:rsid w:val="005368E3"/>
    <w:rsid w:val="0056178F"/>
    <w:rsid w:val="005666AB"/>
    <w:rsid w:val="00567FE1"/>
    <w:rsid w:val="00577692"/>
    <w:rsid w:val="00587723"/>
    <w:rsid w:val="0059162E"/>
    <w:rsid w:val="005958A2"/>
    <w:rsid w:val="005A60A7"/>
    <w:rsid w:val="005B0BB7"/>
    <w:rsid w:val="005C105C"/>
    <w:rsid w:val="005C5B5D"/>
    <w:rsid w:val="005D50D1"/>
    <w:rsid w:val="005D7FA0"/>
    <w:rsid w:val="005F0704"/>
    <w:rsid w:val="005F56BF"/>
    <w:rsid w:val="00607EA5"/>
    <w:rsid w:val="006108C0"/>
    <w:rsid w:val="006319E2"/>
    <w:rsid w:val="00642B0C"/>
    <w:rsid w:val="00651DFA"/>
    <w:rsid w:val="00671B99"/>
    <w:rsid w:val="00675BF6"/>
    <w:rsid w:val="00677767"/>
    <w:rsid w:val="00692D7D"/>
    <w:rsid w:val="00694756"/>
    <w:rsid w:val="006B382B"/>
    <w:rsid w:val="006B5D43"/>
    <w:rsid w:val="006C3F59"/>
    <w:rsid w:val="006D555B"/>
    <w:rsid w:val="006E20EC"/>
    <w:rsid w:val="006F0E5A"/>
    <w:rsid w:val="00700C3D"/>
    <w:rsid w:val="007027FC"/>
    <w:rsid w:val="007047B5"/>
    <w:rsid w:val="007064E9"/>
    <w:rsid w:val="00722DC1"/>
    <w:rsid w:val="00727447"/>
    <w:rsid w:val="007329E5"/>
    <w:rsid w:val="0073564A"/>
    <w:rsid w:val="00742BA6"/>
    <w:rsid w:val="00753525"/>
    <w:rsid w:val="007608F3"/>
    <w:rsid w:val="00761864"/>
    <w:rsid w:val="007651A9"/>
    <w:rsid w:val="00771B86"/>
    <w:rsid w:val="00781BFD"/>
    <w:rsid w:val="0078330F"/>
    <w:rsid w:val="00784215"/>
    <w:rsid w:val="00796B72"/>
    <w:rsid w:val="007A5782"/>
    <w:rsid w:val="007A71F3"/>
    <w:rsid w:val="007A7759"/>
    <w:rsid w:val="007B3093"/>
    <w:rsid w:val="007B6F35"/>
    <w:rsid w:val="007C22EC"/>
    <w:rsid w:val="007D4FB0"/>
    <w:rsid w:val="007D5879"/>
    <w:rsid w:val="007D5C5A"/>
    <w:rsid w:val="007E35A4"/>
    <w:rsid w:val="007F159A"/>
    <w:rsid w:val="007F40E0"/>
    <w:rsid w:val="0081311A"/>
    <w:rsid w:val="0081368A"/>
    <w:rsid w:val="00820DE8"/>
    <w:rsid w:val="00823EFC"/>
    <w:rsid w:val="0082528E"/>
    <w:rsid w:val="00837F04"/>
    <w:rsid w:val="00841C84"/>
    <w:rsid w:val="00857A30"/>
    <w:rsid w:val="008722C9"/>
    <w:rsid w:val="008822D1"/>
    <w:rsid w:val="00883640"/>
    <w:rsid w:val="008940F8"/>
    <w:rsid w:val="008A16E4"/>
    <w:rsid w:val="008A4C9E"/>
    <w:rsid w:val="008C0E63"/>
    <w:rsid w:val="008D0EB8"/>
    <w:rsid w:val="008D1150"/>
    <w:rsid w:val="00901E69"/>
    <w:rsid w:val="009054FC"/>
    <w:rsid w:val="00906082"/>
    <w:rsid w:val="009157DF"/>
    <w:rsid w:val="00917681"/>
    <w:rsid w:val="00924507"/>
    <w:rsid w:val="00934D61"/>
    <w:rsid w:val="00947615"/>
    <w:rsid w:val="00960FEB"/>
    <w:rsid w:val="00974500"/>
    <w:rsid w:val="009772B3"/>
    <w:rsid w:val="00981971"/>
    <w:rsid w:val="00983820"/>
    <w:rsid w:val="00986573"/>
    <w:rsid w:val="00987E28"/>
    <w:rsid w:val="009A6D8E"/>
    <w:rsid w:val="009A75A5"/>
    <w:rsid w:val="009B2ACF"/>
    <w:rsid w:val="009B3D99"/>
    <w:rsid w:val="009B4E71"/>
    <w:rsid w:val="009C49B5"/>
    <w:rsid w:val="009C6EDF"/>
    <w:rsid w:val="009C7993"/>
    <w:rsid w:val="009C7BD8"/>
    <w:rsid w:val="009D2393"/>
    <w:rsid w:val="009D3951"/>
    <w:rsid w:val="009E5DC0"/>
    <w:rsid w:val="009E6DE7"/>
    <w:rsid w:val="009F386F"/>
    <w:rsid w:val="009F4A7D"/>
    <w:rsid w:val="00A13E9F"/>
    <w:rsid w:val="00A1453A"/>
    <w:rsid w:val="00A154BE"/>
    <w:rsid w:val="00A203B4"/>
    <w:rsid w:val="00A252D0"/>
    <w:rsid w:val="00A25AE2"/>
    <w:rsid w:val="00A25C83"/>
    <w:rsid w:val="00A326B6"/>
    <w:rsid w:val="00A36FA5"/>
    <w:rsid w:val="00A402D9"/>
    <w:rsid w:val="00A43B7D"/>
    <w:rsid w:val="00A56416"/>
    <w:rsid w:val="00A67582"/>
    <w:rsid w:val="00A9502E"/>
    <w:rsid w:val="00AB1178"/>
    <w:rsid w:val="00AB3B45"/>
    <w:rsid w:val="00AB684D"/>
    <w:rsid w:val="00AC22BB"/>
    <w:rsid w:val="00AE37DF"/>
    <w:rsid w:val="00AE5B9A"/>
    <w:rsid w:val="00AE71BA"/>
    <w:rsid w:val="00B05D00"/>
    <w:rsid w:val="00B11E98"/>
    <w:rsid w:val="00B201E3"/>
    <w:rsid w:val="00B208C7"/>
    <w:rsid w:val="00B34DFF"/>
    <w:rsid w:val="00B36452"/>
    <w:rsid w:val="00B403C5"/>
    <w:rsid w:val="00B40C4D"/>
    <w:rsid w:val="00B468B7"/>
    <w:rsid w:val="00B4696C"/>
    <w:rsid w:val="00B60A2C"/>
    <w:rsid w:val="00B63048"/>
    <w:rsid w:val="00B657B6"/>
    <w:rsid w:val="00B81FD7"/>
    <w:rsid w:val="00B865E8"/>
    <w:rsid w:val="00B903C3"/>
    <w:rsid w:val="00B9287D"/>
    <w:rsid w:val="00B95C7B"/>
    <w:rsid w:val="00BB5FC9"/>
    <w:rsid w:val="00BC686C"/>
    <w:rsid w:val="00BE21A1"/>
    <w:rsid w:val="00BF7273"/>
    <w:rsid w:val="00C060A3"/>
    <w:rsid w:val="00C101E4"/>
    <w:rsid w:val="00C174A5"/>
    <w:rsid w:val="00C17C10"/>
    <w:rsid w:val="00C26065"/>
    <w:rsid w:val="00C4049A"/>
    <w:rsid w:val="00C460E8"/>
    <w:rsid w:val="00C557FB"/>
    <w:rsid w:val="00C5651B"/>
    <w:rsid w:val="00C57D61"/>
    <w:rsid w:val="00C72CF6"/>
    <w:rsid w:val="00C774F1"/>
    <w:rsid w:val="00C8150C"/>
    <w:rsid w:val="00C91D6E"/>
    <w:rsid w:val="00C95045"/>
    <w:rsid w:val="00CA2053"/>
    <w:rsid w:val="00CB67F2"/>
    <w:rsid w:val="00CD1ED8"/>
    <w:rsid w:val="00CD4ED3"/>
    <w:rsid w:val="00CD518D"/>
    <w:rsid w:val="00CE72B0"/>
    <w:rsid w:val="00CF0145"/>
    <w:rsid w:val="00CF0D56"/>
    <w:rsid w:val="00CF34C0"/>
    <w:rsid w:val="00D14A10"/>
    <w:rsid w:val="00D2744C"/>
    <w:rsid w:val="00D305B5"/>
    <w:rsid w:val="00D40467"/>
    <w:rsid w:val="00D46E54"/>
    <w:rsid w:val="00D531B5"/>
    <w:rsid w:val="00D67EE3"/>
    <w:rsid w:val="00D724D2"/>
    <w:rsid w:val="00D756B4"/>
    <w:rsid w:val="00D81DCA"/>
    <w:rsid w:val="00D93292"/>
    <w:rsid w:val="00D93CE4"/>
    <w:rsid w:val="00DA1E0F"/>
    <w:rsid w:val="00DA5AB0"/>
    <w:rsid w:val="00DB343A"/>
    <w:rsid w:val="00DB6449"/>
    <w:rsid w:val="00DC553D"/>
    <w:rsid w:val="00DD01FE"/>
    <w:rsid w:val="00DD15EB"/>
    <w:rsid w:val="00DF4307"/>
    <w:rsid w:val="00E00C8B"/>
    <w:rsid w:val="00E14A99"/>
    <w:rsid w:val="00E224AA"/>
    <w:rsid w:val="00E225A4"/>
    <w:rsid w:val="00E269F5"/>
    <w:rsid w:val="00E275AD"/>
    <w:rsid w:val="00E31893"/>
    <w:rsid w:val="00E46A0C"/>
    <w:rsid w:val="00E549AD"/>
    <w:rsid w:val="00E65166"/>
    <w:rsid w:val="00E77D4B"/>
    <w:rsid w:val="00E82E31"/>
    <w:rsid w:val="00E85C06"/>
    <w:rsid w:val="00EA28BE"/>
    <w:rsid w:val="00EA5B9F"/>
    <w:rsid w:val="00EB7065"/>
    <w:rsid w:val="00EC0772"/>
    <w:rsid w:val="00ED0730"/>
    <w:rsid w:val="00ED3B66"/>
    <w:rsid w:val="00ED6AAB"/>
    <w:rsid w:val="00EE20EB"/>
    <w:rsid w:val="00EE417A"/>
    <w:rsid w:val="00EE784A"/>
    <w:rsid w:val="00EF2EA4"/>
    <w:rsid w:val="00EF5714"/>
    <w:rsid w:val="00EF6D2E"/>
    <w:rsid w:val="00EF75F3"/>
    <w:rsid w:val="00F0162F"/>
    <w:rsid w:val="00F04B2F"/>
    <w:rsid w:val="00F14771"/>
    <w:rsid w:val="00F22C80"/>
    <w:rsid w:val="00F30A01"/>
    <w:rsid w:val="00F42356"/>
    <w:rsid w:val="00F507A6"/>
    <w:rsid w:val="00F57112"/>
    <w:rsid w:val="00F673EB"/>
    <w:rsid w:val="00F73806"/>
    <w:rsid w:val="00F7474D"/>
    <w:rsid w:val="00F75313"/>
    <w:rsid w:val="00F75EA8"/>
    <w:rsid w:val="00F81EAD"/>
    <w:rsid w:val="00F93CA7"/>
    <w:rsid w:val="00F93DE9"/>
    <w:rsid w:val="00FA32C1"/>
    <w:rsid w:val="00FA5983"/>
    <w:rsid w:val="00FA5B27"/>
    <w:rsid w:val="00FC2961"/>
    <w:rsid w:val="00FC34F9"/>
    <w:rsid w:val="00FC71F7"/>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EF77E"/>
  <w15:chartTrackingRefBased/>
  <w15:docId w15:val="{C3E6729A-3B69-4FD5-8010-3C93F2FE79A4}"/>
  <w:updateFields w:val="true"/>
  <w:hideSpellingErrors w:val="true"/>
  <w:hideGrammaticalErrors w:val="true"/>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宋体" w:hAnsi="宋体" w:cstheme="majorBidi" w:eastAsia="宋体" w:cs="宋体"/>
        <w:lang w:val="en-GB" w:eastAsia="zh-CN" w:bidi="ar-SA"/>
      </w:rPr>
    </w:rPrDefault>
    <w:pPrDefault>
      <w:pPr>
        <w:spacing w:before="120"/>
        <w:ind w:left="709" w:hanging="709"/>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2CF6"/>
    <w:pPr>
      <w:ind w:left="0" w:firstLine="0"/>
    </w:pPr>
    <w:rPr>
      <w:rFonts w:cs="宋体" w:ascii="宋体" w:hAnsi="宋体" w:eastAsia="宋体"/>
      <w:color w:val="222222"/>
      <w:sz w:val="21"/>
      <w:szCs w:val="24"/>
      <w:lang w:eastAsia="fr-FR"/>
    </w:rPr>
  </w:style>
  <w:style w:type="paragraph" w:styleId="1">
    <w:name w:val="heading 1"/>
    <w:basedOn w:val="a"/>
    <w:next w:val="a"/>
    <w:link w:val="10"/>
    <w:uiPriority w:val="9"/>
    <w:qFormat/>
    <w:rsid w:val="00B403C5"/>
    <w:pPr>
      <w:keepNext/>
      <w:numPr>
        <w:numId w:val="23"/>
      </w:numPr>
      <w:spacing w:before="360" w:after="120"/>
      <w:outlineLvl w:val="0"/>
    </w:pPr>
    <w:rPr>
      <w:rFonts w:cs="黑体" w:ascii="黑体" w:hAnsi="黑体" w:eastAsia="黑体"/>
      <w:b/>
      <w:caps/>
      <w:color w:val="FF6600"/>
      <w:spacing w:val="20"/>
    </w:rPr>
  </w:style>
  <w:style w:type="paragraph" w:styleId="2">
    <w:name w:val="heading 2"/>
    <w:basedOn w:val="a"/>
    <w:next w:val="a"/>
    <w:link w:val="20"/>
    <w:uiPriority w:val="9"/>
    <w:qFormat/>
    <w:rsid w:val="00B403C5"/>
    <w:pPr>
      <w:numPr>
        <w:ilvl w:val="1"/>
        <w:numId w:val="23"/>
      </w:numPr>
      <w:pBdr>
        <w:bottom w:val="single" w:sz="4" w:space="1" w:color="FF6600"/>
      </w:pBdr>
      <w:spacing w:before="240"/>
      <w:outlineLvl w:val="1"/>
    </w:pPr>
    <w:rPr>
      <w:rFonts w:cs="黑体" w:ascii="黑体" w:hAnsi="黑体" w:eastAsia="黑体"/>
      <w:b/>
      <w:iCs/>
      <w:smallCaps/>
      <w:color w:val="363636"/>
      <w:spacing w:val="15"/>
      <w:kern w:val="32"/>
      <w:sz w:val="22"/>
    </w:rPr>
  </w:style>
  <w:style w:type="paragraph" w:styleId="3">
    <w:name w:val="heading 3"/>
    <w:basedOn w:val="a"/>
    <w:next w:val="a"/>
    <w:link w:val="30"/>
    <w:uiPriority w:val="9"/>
    <w:qFormat/>
    <w:rsid w:val="00B403C5"/>
    <w:pPr>
      <w:keepNext/>
      <w:numPr>
        <w:ilvl w:val="2"/>
        <w:numId w:val="23"/>
      </w:numPr>
      <w:spacing w:before="240" w:after="60"/>
      <w:outlineLvl w:val="2"/>
    </w:pPr>
    <w:rPr>
      <w:rFonts w:cs="黑体" w:ascii="黑体" w:hAnsi="黑体" w:eastAsia="黑体"/>
      <w:b/>
      <w:bCs/>
      <w:smallCaps/>
      <w:color w:val="FF6600"/>
    </w:rPr>
  </w:style>
  <w:style w:type="paragraph" w:styleId="4">
    <w:name w:val="heading 4"/>
    <w:basedOn w:val="a"/>
    <w:next w:val="a"/>
    <w:link w:val="40"/>
    <w:uiPriority w:val="9"/>
    <w:qFormat/>
    <w:rsid w:val="00B403C5"/>
    <w:pPr>
      <w:keepNext/>
      <w:numPr>
        <w:ilvl w:val="3"/>
        <w:numId w:val="23"/>
      </w:numPr>
      <w:outlineLvl w:val="3"/>
    </w:pPr>
    <w:rPr>
      <w:rFonts w:cstheme="majorBidi" w:ascii="宋体" w:hAnsi="宋体" w:eastAsia="宋体" w:cs="宋体"/>
      <w:bCs/>
      <w:sz w:val="18"/>
      <w:szCs w:val="28"/>
      <w:lang w:eastAsia="en-US" w:bidi="en-US"/>
    </w:rPr>
  </w:style>
  <w:style w:type="paragraph" w:styleId="5">
    <w:name w:val="heading 5"/>
    <w:basedOn w:val="a"/>
    <w:next w:val="a"/>
    <w:link w:val="50"/>
    <w:uiPriority w:val="9"/>
    <w:qFormat/>
    <w:rsid w:val="00B403C5"/>
    <w:pPr>
      <w:keepNext/>
      <w:keepLines/>
      <w:numPr>
        <w:ilvl w:val="4"/>
        <w:numId w:val="23"/>
      </w:numPr>
      <w:outlineLvl w:val="4"/>
    </w:pPr>
    <w:rPr>
      <w:sz w:val="18"/>
      <w:szCs w:val="22"/>
    </w:rPr>
  </w:style>
  <w:style w:type="paragraph" w:styleId="6">
    <w:name w:val="heading 6"/>
    <w:basedOn w:val="a"/>
    <w:next w:val="a"/>
    <w:link w:val="60"/>
    <w:uiPriority w:val="9"/>
    <w:qFormat/>
    <w:rsid w:val="00B403C5"/>
    <w:pPr>
      <w:numPr>
        <w:ilvl w:val="5"/>
        <w:numId w:val="23"/>
      </w:numPr>
      <w:spacing w:before="240" w:after="60"/>
      <w:outlineLvl w:val="5"/>
    </w:pPr>
    <w:rPr>
      <w:bCs/>
      <w:sz w:val="18"/>
    </w:rPr>
  </w:style>
  <w:style w:type="paragraph" w:styleId="7">
    <w:name w:val="heading 7"/>
    <w:basedOn w:val="a"/>
    <w:next w:val="a"/>
    <w:link w:val="70"/>
    <w:uiPriority w:val="9"/>
    <w:qFormat/>
    <w:rsid w:val="00B403C5"/>
    <w:pPr>
      <w:numPr>
        <w:ilvl w:val="6"/>
        <w:numId w:val="23"/>
      </w:numPr>
      <w:spacing w:before="240" w:after="60"/>
      <w:outlineLvl w:val="6"/>
    </w:pPr>
    <w:rPr>
      <w:sz w:val="18"/>
    </w:rPr>
  </w:style>
  <w:style w:type="paragraph" w:styleId="8">
    <w:name w:val="heading 8"/>
    <w:basedOn w:val="a"/>
    <w:next w:val="a"/>
    <w:link w:val="80"/>
    <w:uiPriority w:val="9"/>
    <w:qFormat/>
    <w:rsid w:val="00B403C5"/>
    <w:pPr>
      <w:numPr>
        <w:ilvl w:val="7"/>
        <w:numId w:val="23"/>
      </w:numPr>
      <w:spacing w:before="240" w:after="60"/>
      <w:outlineLvl w:val="7"/>
    </w:pPr>
    <w:rPr>
      <w:iCs/>
      <w:sz w:val="18"/>
    </w:rPr>
  </w:style>
  <w:style w:type="paragraph" w:styleId="9">
    <w:name w:val="heading 9"/>
    <w:basedOn w:val="a"/>
    <w:next w:val="a"/>
    <w:link w:val="90"/>
    <w:uiPriority w:val="9"/>
    <w:qFormat/>
    <w:rsid w:val="00B403C5"/>
    <w:pPr>
      <w:numPr>
        <w:ilvl w:val="8"/>
        <w:numId w:val="23"/>
      </w:numPr>
      <w:spacing w:before="240" w:after="60"/>
      <w:outlineLvl w:val="8"/>
    </w:pPr>
    <w:rPr>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403C5"/>
    <w:rPr>
      <w:rFonts w:cs="黑体" w:ascii="黑体" w:hAnsi="黑体" w:eastAsia="黑体"/>
      <w:b/>
      <w:caps/>
      <w:color w:val="FF6600"/>
      <w:spacing w:val="20"/>
      <w:szCs w:val="24"/>
      <w:lang w:eastAsia="fr-FR"/>
    </w:rPr>
  </w:style>
  <w:style w:type="character" w:customStyle="1" w:styleId="20">
    <w:name w:val="标题 2 字符"/>
    <w:basedOn w:val="a0"/>
    <w:link w:val="2"/>
    <w:uiPriority w:val="9"/>
    <w:rsid w:val="00051572"/>
    <w:rPr>
      <w:rFonts w:cs="黑体" w:ascii="黑体" w:hAnsi="黑体" w:eastAsia="黑体"/>
      <w:b/>
      <w:iCs/>
      <w:smallCaps/>
      <w:color w:val="363636"/>
      <w:spacing w:val="15"/>
      <w:kern w:val="32"/>
      <w:sz w:val="22"/>
      <w:szCs w:val="24"/>
      <w:lang w:eastAsia="fr-FR"/>
    </w:rPr>
  </w:style>
  <w:style w:type="character" w:customStyle="1" w:styleId="30">
    <w:name w:val="标题 3 字符"/>
    <w:basedOn w:val="a0"/>
    <w:link w:val="3"/>
    <w:uiPriority w:val="9"/>
    <w:rsid w:val="00051572"/>
    <w:rPr>
      <w:rFonts w:cs="黑体" w:ascii="黑体" w:hAnsi="黑体" w:eastAsia="黑体"/>
      <w:b/>
      <w:bCs/>
      <w:smallCaps/>
      <w:color w:val="FF6600"/>
      <w:szCs w:val="24"/>
      <w:lang w:eastAsia="fr-FR"/>
    </w:rPr>
  </w:style>
  <w:style w:type="character" w:customStyle="1" w:styleId="40">
    <w:name w:val="标题 4 字符"/>
    <w:basedOn w:val="a0"/>
    <w:link w:val="4"/>
    <w:uiPriority w:val="9"/>
    <w:rsid w:val="00051572"/>
    <w:rPr>
      <w:rFonts w:ascii="宋体" w:hAnsi="宋体" w:eastAsia="宋体" w:cs="宋体"/>
      <w:bCs/>
      <w:sz w:val="18"/>
      <w:szCs w:val="28"/>
      <w:lang w:bidi="en-US"/>
    </w:rPr>
  </w:style>
  <w:style w:type="character" w:customStyle="1" w:styleId="50">
    <w:name w:val="标题 5 字符"/>
    <w:basedOn w:val="a0"/>
    <w:link w:val="5"/>
    <w:uiPriority w:val="9"/>
    <w:rsid w:val="00051572"/>
    <w:rPr>
      <w:rFonts w:cs="宋体" w:ascii="宋体" w:hAnsi="宋体" w:eastAsia="宋体"/>
      <w:sz w:val="18"/>
      <w:szCs w:val="22"/>
      <w:lang w:eastAsia="fr-FR"/>
    </w:rPr>
  </w:style>
  <w:style w:type="character" w:customStyle="1" w:styleId="60">
    <w:name w:val="标题 6 字符"/>
    <w:basedOn w:val="a0"/>
    <w:link w:val="6"/>
    <w:uiPriority w:val="9"/>
    <w:rsid w:val="00051572"/>
    <w:rPr>
      <w:rFonts w:cs="宋体" w:ascii="宋体" w:hAnsi="宋体" w:eastAsia="宋体"/>
      <w:bCs/>
      <w:sz w:val="18"/>
      <w:szCs w:val="24"/>
      <w:lang w:eastAsia="fr-FR"/>
    </w:rPr>
  </w:style>
  <w:style w:type="character" w:customStyle="1" w:styleId="70">
    <w:name w:val="标题 7 字符"/>
    <w:basedOn w:val="a0"/>
    <w:link w:val="7"/>
    <w:uiPriority w:val="9"/>
    <w:rsid w:val="00051572"/>
    <w:rPr>
      <w:rFonts w:cs="宋体" w:ascii="宋体" w:hAnsi="宋体" w:eastAsia="宋体"/>
      <w:sz w:val="18"/>
      <w:szCs w:val="24"/>
      <w:lang w:eastAsia="fr-FR"/>
    </w:rPr>
  </w:style>
  <w:style w:type="character" w:customStyle="1" w:styleId="80">
    <w:name w:val="标题 8 字符"/>
    <w:basedOn w:val="a0"/>
    <w:link w:val="8"/>
    <w:uiPriority w:val="9"/>
    <w:rsid w:val="00051572"/>
    <w:rPr>
      <w:rFonts w:cs="宋体" w:ascii="宋体" w:hAnsi="宋体" w:eastAsia="宋体"/>
      <w:iCs/>
      <w:sz w:val="18"/>
      <w:szCs w:val="24"/>
      <w:lang w:eastAsia="fr-FR"/>
    </w:rPr>
  </w:style>
  <w:style w:type="character" w:customStyle="1" w:styleId="90">
    <w:name w:val="标题 9 字符"/>
    <w:basedOn w:val="a0"/>
    <w:link w:val="9"/>
    <w:uiPriority w:val="9"/>
    <w:rsid w:val="00051572"/>
    <w:rPr>
      <w:rFonts w:cs="宋体" w:ascii="宋体" w:hAnsi="宋体" w:eastAsia="宋体"/>
      <w:sz w:val="18"/>
      <w:szCs w:val="24"/>
      <w:lang w:eastAsia="fr-FR"/>
    </w:rPr>
  </w:style>
  <w:style w:type="paragraph" w:styleId="a3">
    <w:name w:val="footer"/>
    <w:basedOn w:val="a"/>
    <w:link w:val="a4"/>
    <w:uiPriority w:val="99"/>
    <w:qFormat/>
    <w:rsid w:val="00051572"/>
    <w:pPr>
      <w:tabs>
        <w:tab w:val="center" w:pos="4513"/>
        <w:tab w:val="right" w:pos="9026"/>
      </w:tabs>
    </w:pPr>
    <w:rPr>
      <w:rFonts w:cstheme="majorBidi" w:ascii="宋体" w:hAnsi="宋体" w:eastAsia="宋体" w:cs="宋体"/>
      <w:sz w:val="16"/>
      <w:szCs w:val="20"/>
      <w:lang w:eastAsia="en-US" w:bidi="en-US"/>
    </w:rPr>
  </w:style>
  <w:style w:type="character" w:customStyle="1" w:styleId="a4">
    <w:name w:val="页脚 字符"/>
    <w:basedOn w:val="a0"/>
    <w:link w:val="a3"/>
    <w:uiPriority w:val="99"/>
    <w:rsid w:val="00051572"/>
    <w:rPr>
      <w:rFonts w:ascii="宋体" w:hAnsi="宋体" w:eastAsia="宋体" w:cs="宋体"/>
      <w:sz w:val="16"/>
      <w:lang w:bidi="en-US"/>
    </w:rPr>
  </w:style>
  <w:style w:type="paragraph" w:styleId="a5">
    <w:name w:val="Title"/>
    <w:basedOn w:val="a"/>
    <w:next w:val="a"/>
    <w:link w:val="a6"/>
    <w:uiPriority w:val="10"/>
    <w:qFormat/>
    <w:rsid w:val="00051572"/>
    <w:pPr>
      <w:spacing w:before="240" w:after="60"/>
      <w:jc w:val="center"/>
      <w:outlineLvl w:val="0"/>
    </w:pPr>
    <w:rPr>
      <w:rFonts w:cstheme="majorBidi" w:ascii="黑体" w:hAnsi="黑体" w:eastAsia="黑体" w:cs="黑体"/>
      <w:b/>
      <w:bCs/>
      <w:kern w:val="28"/>
      <w:szCs w:val="32"/>
      <w:u w:val="single"/>
      <w:lang w:eastAsia="en-US" w:bidi="en-US"/>
    </w:rPr>
  </w:style>
  <w:style w:type="character" w:customStyle="1" w:styleId="a6">
    <w:name w:val="标题 字符"/>
    <w:basedOn w:val="a0"/>
    <w:link w:val="a5"/>
    <w:uiPriority w:val="10"/>
    <w:rsid w:val="00051572"/>
    <w:rPr>
      <w:rFonts w:ascii="黑体" w:hAnsi="黑体" w:eastAsia="黑体" w:cs="黑体"/>
      <w:b/>
      <w:bCs/>
      <w:kern w:val="28"/>
      <w:szCs w:val="32"/>
      <w:u w:val="single"/>
      <w:lang w:bidi="en-US"/>
    </w:rPr>
  </w:style>
  <w:style w:type="paragraph" w:styleId="a7">
    <w:name w:val="Subtitle"/>
    <w:basedOn w:val="a"/>
    <w:next w:val="a"/>
    <w:link w:val="a8"/>
    <w:uiPriority w:val="11"/>
    <w:qFormat/>
    <w:rsid w:val="00051572"/>
    <w:pPr>
      <w:spacing w:after="60"/>
      <w:jc w:val="center"/>
      <w:outlineLvl w:val="1"/>
    </w:pPr>
    <w:rPr>
      <w:rFonts w:cstheme="majorBidi" w:ascii="宋体" w:hAnsi="宋体" w:eastAsia="宋体" w:cs="宋体"/>
      <w:szCs w:val="20"/>
      <w:lang w:eastAsia="en-US" w:bidi="en-US"/>
    </w:rPr>
  </w:style>
  <w:style w:type="character" w:customStyle="1" w:styleId="a8">
    <w:name w:val="副标题 字符"/>
    <w:basedOn w:val="a0"/>
    <w:link w:val="a7"/>
    <w:uiPriority w:val="11"/>
    <w:rsid w:val="00051572"/>
    <w:rPr>
      <w:rFonts w:ascii="宋体" w:hAnsi="宋体" w:eastAsia="宋体" w:cs="宋体"/>
      <w:lang w:bidi="en-US"/>
    </w:rPr>
  </w:style>
  <w:style w:type="character" w:styleId="a9">
    <w:name w:val="Hyperlink"/>
    <w:basedOn w:val="a0"/>
    <w:uiPriority w:val="99"/>
    <w:qFormat/>
    <w:rsid w:val="00051572"/>
    <w:rPr>
      <w:rFonts w:ascii="宋体" w:hAnsi="宋体" w:eastAsia="宋体" w:cs="宋体"/>
      <w:color w:val="FF6600"/>
      <w:sz w:val="20"/>
      <w:u w:val="single"/>
    </w:rPr>
  </w:style>
  <w:style w:type="character" w:styleId="aa">
    <w:name w:val="FollowedHyperlink"/>
    <w:basedOn w:val="a0"/>
    <w:uiPriority w:val="99"/>
    <w:qFormat/>
    <w:rsid w:val="00051572"/>
    <w:rPr>
      <w:rFonts w:ascii="宋体" w:hAnsi="宋体" w:eastAsia="宋体" w:cs="宋体"/>
      <w:i/>
      <w:color w:val="363636"/>
      <w:sz w:val="20"/>
      <w:u w:val="single"/>
    </w:rPr>
  </w:style>
  <w:style w:type="character" w:styleId="ab">
    <w:name w:val="Strong"/>
    <w:basedOn w:val="a0"/>
    <w:uiPriority w:val="22"/>
    <w:qFormat/>
    <w:rsid w:val="00051572"/>
    <w:rPr>
      <w:b/>
      <w:bCs/>
    </w:rPr>
  </w:style>
  <w:style w:type="character" w:styleId="ac">
    <w:name w:val="Emphasis"/>
    <w:basedOn w:val="a0"/>
    <w:uiPriority w:val="20"/>
    <w:qFormat/>
    <w:rsid w:val="00051572"/>
    <w:rPr>
      <w:rFonts w:ascii="黑体" w:hAnsi="黑体" w:eastAsia="黑体" w:cs="黑体"/>
      <w:b/>
      <w:i/>
      <w:iCs/>
    </w:rPr>
  </w:style>
  <w:style w:type="paragraph" w:styleId="ad">
    <w:name w:val="No Spacing"/>
    <w:basedOn w:val="a"/>
    <w:link w:val="ae"/>
    <w:uiPriority w:val="1"/>
    <w:qFormat/>
    <w:rsid w:val="00051572"/>
    <w:rPr>
      <w:rFonts w:cstheme="majorBidi" w:ascii="宋体" w:hAnsi="宋体" w:eastAsia="宋体" w:cs="宋体"/>
      <w:szCs w:val="32"/>
      <w:lang w:eastAsia="en-US" w:bidi="en-US"/>
    </w:rPr>
  </w:style>
  <w:style w:type="character" w:customStyle="1" w:styleId="ae">
    <w:name w:val="无间隔 字符"/>
    <w:basedOn w:val="a0"/>
    <w:link w:val="ad"/>
    <w:uiPriority w:val="1"/>
    <w:rsid w:val="00051572"/>
    <w:rPr>
      <w:rFonts w:ascii="宋体" w:hAnsi="宋体" w:eastAsia="宋体" w:cs="宋体"/>
      <w:szCs w:val="32"/>
      <w:lang w:bidi="en-US"/>
    </w:rPr>
  </w:style>
  <w:style w:type="paragraph" w:styleId="af">
    <w:name w:val="List Paragraph"/>
    <w:basedOn w:val="a"/>
    <w:uiPriority w:val="34"/>
    <w:qFormat/>
    <w:rsid w:val="00051572"/>
    <w:pPr>
      <w:ind w:left="720"/>
      <w:contextualSpacing/>
    </w:pPr>
  </w:style>
  <w:style w:type="paragraph" w:styleId="af0">
    <w:name w:val="Quote"/>
    <w:basedOn w:val="a"/>
    <w:next w:val="a"/>
    <w:link w:val="af1"/>
    <w:uiPriority w:val="29"/>
    <w:qFormat/>
    <w:rsid w:val="00051572"/>
    <w:rPr>
      <w:rFonts w:cstheme="majorBidi" w:ascii="宋体" w:hAnsi="宋体" w:eastAsia="宋体" w:cs="宋体"/>
      <w:i/>
      <w:szCs w:val="20"/>
      <w:lang w:eastAsia="en-US" w:bidi="en-US"/>
    </w:rPr>
  </w:style>
  <w:style w:type="character" w:customStyle="1" w:styleId="af1">
    <w:name w:val="引用 字符"/>
    <w:basedOn w:val="a0"/>
    <w:link w:val="af0"/>
    <w:uiPriority w:val="29"/>
    <w:rsid w:val="00051572"/>
    <w:rPr>
      <w:rFonts w:ascii="宋体" w:hAnsi="宋体" w:eastAsia="宋体" w:cs="宋体"/>
      <w:i/>
      <w:lang w:bidi="en-US"/>
    </w:rPr>
  </w:style>
  <w:style w:type="paragraph" w:styleId="af2">
    <w:name w:val="Intense Quote"/>
    <w:basedOn w:val="a"/>
    <w:next w:val="a"/>
    <w:link w:val="af3"/>
    <w:uiPriority w:val="30"/>
    <w:qFormat/>
    <w:rsid w:val="00051572"/>
    <w:pPr>
      <w:ind w:left="720" w:right="720"/>
    </w:pPr>
    <w:rPr>
      <w:rFonts w:cstheme="majorBidi" w:ascii="黑体" w:hAnsi="黑体" w:eastAsia="黑体" w:cs="黑体"/>
      <w:b/>
      <w:i/>
      <w:szCs w:val="20"/>
      <w:lang w:eastAsia="en-US" w:bidi="en-US"/>
    </w:rPr>
  </w:style>
  <w:style w:type="character" w:customStyle="1" w:styleId="af3">
    <w:name w:val="明显引用 字符"/>
    <w:basedOn w:val="a0"/>
    <w:link w:val="af2"/>
    <w:uiPriority w:val="30"/>
    <w:rsid w:val="00051572"/>
    <w:rPr>
      <w:rFonts w:ascii="黑体" w:hAnsi="黑体" w:eastAsia="黑体" w:cs="黑体"/>
      <w:b/>
      <w:i/>
      <w:lang w:bidi="en-US"/>
    </w:rPr>
  </w:style>
  <w:style w:type="character" w:styleId="af4">
    <w:name w:val="Subtle Emphasis"/>
    <w:uiPriority w:val="19"/>
    <w:qFormat/>
    <w:rsid w:val="00051572"/>
    <w:rPr>
      <w:i/>
      <w:color w:val="5A5A5A" w:themeColor="text1" w:themeTint="A5"/>
    </w:rPr>
  </w:style>
  <w:style w:type="character" w:styleId="af5">
    <w:name w:val="Intense Emphasis"/>
    <w:basedOn w:val="a0"/>
    <w:uiPriority w:val="21"/>
    <w:qFormat/>
    <w:rsid w:val="00051572"/>
    <w:rPr>
      <w:b/>
      <w:i/>
      <w:sz w:val="24"/>
      <w:szCs w:val="24"/>
      <w:u w:val="single"/>
    </w:rPr>
  </w:style>
  <w:style w:type="character" w:styleId="af6">
    <w:name w:val="Subtle Reference"/>
    <w:basedOn w:val="a0"/>
    <w:uiPriority w:val="31"/>
    <w:qFormat/>
    <w:rsid w:val="00051572"/>
    <w:rPr>
      <w:sz w:val="24"/>
      <w:szCs w:val="24"/>
      <w:u w:val="single"/>
    </w:rPr>
  </w:style>
  <w:style w:type="character" w:styleId="af7">
    <w:name w:val="Intense Reference"/>
    <w:basedOn w:val="a0"/>
    <w:uiPriority w:val="32"/>
    <w:qFormat/>
    <w:rsid w:val="00051572"/>
    <w:rPr>
      <w:b/>
      <w:sz w:val="24"/>
      <w:u w:val="single"/>
    </w:rPr>
  </w:style>
  <w:style w:type="character" w:styleId="af8">
    <w:name w:val="Book Title"/>
    <w:basedOn w:val="a0"/>
    <w:uiPriority w:val="33"/>
    <w:qFormat/>
    <w:rsid w:val="00051572"/>
    <w:rPr>
      <w:rFonts w:ascii="黑体" w:hAnsi="黑体" w:eastAsia="黑体" w:cs="黑体"/>
      <w:b/>
      <w:i/>
      <w:sz w:val="24"/>
      <w:szCs w:val="24"/>
    </w:rPr>
  </w:style>
  <w:style w:type="paragraph" w:styleId="TOC">
    <w:name w:val="TOC Heading"/>
    <w:basedOn w:val="1"/>
    <w:next w:val="a"/>
    <w:uiPriority w:val="39"/>
    <w:qFormat/>
    <w:rsid w:val="00051572"/>
    <w:pPr>
      <w:numPr>
        <w:numId w:val="0"/>
      </w:numPr>
      <w:outlineLvl w:val="9"/>
    </w:pPr>
  </w:style>
  <w:style w:type="paragraph" w:customStyle="1" w:styleId="List1">
    <w:name w:val="List 1"/>
    <w:basedOn w:val="a"/>
    <w:link w:val="List1Char"/>
    <w:uiPriority w:val="99"/>
    <w:qFormat/>
    <w:rsid w:val="00051572"/>
    <w:pPr>
      <w:numPr>
        <w:numId w:val="18"/>
      </w:numPr>
      <w:spacing w:before="60"/>
    </w:pPr>
    <w:rPr>
      <w:rFonts w:cstheme="majorBidi" w:ascii="宋体" w:hAnsi="宋体" w:eastAsia="宋体" w:cs="宋体"/>
      <w:szCs w:val="20"/>
      <w:lang w:eastAsia="en-US" w:bidi="en-US"/>
    </w:rPr>
  </w:style>
  <w:style w:type="character" w:customStyle="1" w:styleId="List1Char">
    <w:name w:val="List 1 Char"/>
    <w:basedOn w:val="a0"/>
    <w:link w:val="List1"/>
    <w:uiPriority w:val="99"/>
    <w:rsid w:val="00051572"/>
    <w:rPr>
      <w:rFonts w:ascii="宋体" w:hAnsi="宋体" w:eastAsia="宋体" w:cs="宋体"/>
      <w:lang w:bidi="en-US"/>
    </w:rPr>
  </w:style>
  <w:style w:type="paragraph" w:customStyle="1" w:styleId="Highlight">
    <w:name w:val="Highlight"/>
    <w:basedOn w:val="a"/>
    <w:uiPriority w:val="99"/>
    <w:qFormat/>
    <w:rsid w:val="00051572"/>
    <w:rPr>
      <w:color w:val="BF0000" w:themeColor="accent6" w:themeShade="BF"/>
    </w:rPr>
  </w:style>
  <w:style w:type="paragraph" w:customStyle="1" w:styleId="Numbered1">
    <w:name w:val="Numbered 1"/>
    <w:basedOn w:val="a"/>
    <w:rsid w:val="00051572"/>
    <w:pPr>
      <w:numPr>
        <w:numId w:val="19"/>
      </w:numPr>
      <w:spacing w:before="60"/>
    </w:pPr>
  </w:style>
  <w:style w:type="paragraph" w:customStyle="1" w:styleId="List2">
    <w:name w:val="List2"/>
    <w:basedOn w:val="List1"/>
    <w:uiPriority w:val="99"/>
    <w:qFormat/>
    <w:rsid w:val="00051572"/>
    <w:pPr>
      <w:numPr>
        <w:numId w:val="0"/>
      </w:numPr>
      <w:spacing w:before="0"/>
    </w:pPr>
    <w:rPr>
      <w:szCs w:val="24"/>
      <w:lang w:val="fr-FR" w:eastAsia="fr-FR" w:bidi="ar-SA"/>
    </w:rPr>
  </w:style>
  <w:style w:type="paragraph" w:customStyle="1" w:styleId="StyleHeading5Firstline0cm">
    <w:name w:val="Style Heading 5 + First line:  0 cm"/>
    <w:basedOn w:val="5"/>
    <w:qFormat/>
    <w:rsid w:val="00051572"/>
    <w:pPr>
      <w:numPr>
        <w:ilvl w:val="0"/>
        <w:numId w:val="0"/>
      </w:numPr>
    </w:pPr>
    <w:rPr>
      <w:color w:val="363636"/>
      <w:szCs w:val="24"/>
      <w:u w:val="single"/>
    </w:rPr>
  </w:style>
  <w:style w:type="paragraph" w:customStyle="1" w:styleId="Glossary">
    <w:name w:val="Glossary"/>
    <w:basedOn w:val="a"/>
    <w:link w:val="GlossaryChar"/>
    <w:uiPriority w:val="99"/>
    <w:qFormat/>
    <w:rsid w:val="00051572"/>
    <w:pPr>
      <w:spacing w:before="40"/>
    </w:pPr>
    <w:rPr>
      <w:rFonts w:cstheme="majorBidi" w:ascii="宋体" w:hAnsi="宋体" w:eastAsia="宋体" w:cs="宋体"/>
      <w:sz w:val="16"/>
      <w:szCs w:val="16"/>
      <w:lang w:eastAsia="en-GB"/>
    </w:rPr>
  </w:style>
  <w:style w:type="character" w:customStyle="1" w:styleId="GlossaryChar">
    <w:name w:val="Glossary Char"/>
    <w:basedOn w:val="a0"/>
    <w:link w:val="Glossary"/>
    <w:uiPriority w:val="99"/>
    <w:rsid w:val="00051572"/>
    <w:rPr>
      <w:sz w:val="16"/>
      <w:szCs w:val="16"/>
      <w:lang w:eastAsia="en-GB"/>
    </w:rPr>
  </w:style>
  <w:style w:type="numbering" w:customStyle="1" w:styleId="Style1">
    <w:name w:val="Style1"/>
    <w:uiPriority w:val="99"/>
    <w:rsid w:val="00051572"/>
    <w:pPr>
      <w:numPr>
        <w:numId w:val="4"/>
      </w:numPr>
    </w:pPr>
  </w:style>
  <w:style w:type="paragraph" w:styleId="af9">
    <w:name w:val="header"/>
    <w:basedOn w:val="a"/>
    <w:link w:val="afa"/>
    <w:autoRedefine/>
    <w:uiPriority w:val="99"/>
    <w:rsid w:val="00051572"/>
    <w:pPr>
      <w:tabs>
        <w:tab w:val="center" w:pos="4536"/>
        <w:tab w:val="right" w:pos="9072"/>
      </w:tabs>
    </w:pPr>
  </w:style>
  <w:style w:type="character" w:customStyle="1" w:styleId="afa">
    <w:name w:val="页眉 字符"/>
    <w:basedOn w:val="a0"/>
    <w:link w:val="af9"/>
    <w:uiPriority w:val="99"/>
    <w:rsid w:val="00051572"/>
    <w:rPr>
      <w:rFonts w:cs="宋体" w:ascii="宋体" w:hAnsi="宋体" w:eastAsia="宋体"/>
      <w:szCs w:val="24"/>
      <w:lang w:eastAsia="fr-FR"/>
    </w:rPr>
  </w:style>
  <w:style w:type="table" w:styleId="afb">
    <w:name w:val="Table Grid"/>
    <w:aliases w:val="SGS Table Basic 1"/>
    <w:basedOn w:val="a1"/>
    <w:rsid w:val="00051572"/>
    <w:pPr>
      <w:spacing w:before="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jc w:val="left"/>
      </w:pPr>
      <w:rPr>
        <w:color w:val="FF6600"/>
      </w:rPr>
      <w:tblPr/>
      <w:tcPr>
        <w:tcBorders>
          <w:bottom w:val="single" w:sz="12" w:space="0" w:color="363636"/>
        </w:tcBorders>
      </w:tcPr>
    </w:tblStylePr>
  </w:style>
  <w:style w:type="table" w:customStyle="1" w:styleId="SGSTableBasic2">
    <w:name w:val="SGS Table Basic 2"/>
    <w:basedOn w:val="a1"/>
    <w:uiPriority w:val="99"/>
    <w:qFormat/>
    <w:rsid w:val="00051572"/>
    <w:pPr>
      <w:spacing w:before="0"/>
    </w:pPr>
    <w:tblPr/>
    <w:tcPr>
      <w:shd w:val="clear" w:color="auto" w:fill="BCBCBC"/>
    </w:tcPr>
    <w:tblStylePr w:type="firstRow">
      <w:pPr>
        <w:jc w:val="left"/>
      </w:pPr>
      <w:tblPr/>
      <w:tcPr>
        <w:shd w:val="clear" w:color="auto" w:fill="363636"/>
        <w:vAlign w:val="center"/>
      </w:tcPr>
    </w:tblStylePr>
  </w:style>
  <w:style w:type="numbering" w:customStyle="1" w:styleId="SGS">
    <w:name w:val="SGS"/>
    <w:uiPriority w:val="99"/>
    <w:rsid w:val="00051572"/>
    <w:pPr>
      <w:numPr>
        <w:numId w:val="5"/>
      </w:numPr>
    </w:pPr>
  </w:style>
  <w:style w:type="paragraph" w:styleId="TOC1">
    <w:name w:val="toc 1"/>
    <w:basedOn w:val="a"/>
    <w:next w:val="a"/>
    <w:autoRedefine/>
    <w:uiPriority w:val="39"/>
    <w:rsid w:val="00051572"/>
    <w:pPr>
      <w:keepNext/>
      <w:keepLines/>
      <w:pBdr>
        <w:left w:val="single" w:sz="48" w:space="4" w:color="FF6600"/>
      </w:pBdr>
      <w:shd w:val="clear" w:color="auto" w:fill="363636"/>
      <w:tabs>
        <w:tab w:val="left" w:pos="426"/>
        <w:tab w:val="right" w:leader="dot" w:pos="9072"/>
      </w:tabs>
    </w:pPr>
    <w:rPr>
      <w:rFonts w:cstheme="majorBidi" w:ascii="黑体" w:hAnsi="黑体" w:eastAsia="黑体" w:cs="黑体"/>
      <w:b/>
      <w:caps/>
      <w:noProof/>
      <w:color w:val="FFFFFF" w:themeColor="background1"/>
      <w:sz w:val="18"/>
      <w:szCs w:val="20"/>
      <w:lang w:eastAsia="en-US" w:bidi="en-US"/>
    </w:rPr>
  </w:style>
  <w:style w:type="paragraph" w:styleId="TOC2">
    <w:name w:val="toc 2"/>
    <w:basedOn w:val="a"/>
    <w:next w:val="a"/>
    <w:autoRedefine/>
    <w:uiPriority w:val="39"/>
    <w:rsid w:val="00051572"/>
    <w:pPr>
      <w:keepNext/>
      <w:keepLines/>
      <w:tabs>
        <w:tab w:val="left" w:pos="880"/>
        <w:tab w:val="right" w:leader="dot" w:pos="9072"/>
      </w:tabs>
    </w:pPr>
    <w:rPr>
      <w:rFonts w:cstheme="majorBidi" w:ascii="宋体" w:hAnsi="宋体" w:eastAsia="宋体" w:cs="宋体"/>
      <w:smallCaps/>
      <w:noProof/>
      <w:sz w:val="18"/>
      <w:szCs w:val="18"/>
      <w:lang w:eastAsia="en-US" w:bidi="en-US"/>
    </w:rPr>
  </w:style>
  <w:style w:type="paragraph" w:styleId="TOC3">
    <w:name w:val="toc 3"/>
    <w:basedOn w:val="a"/>
    <w:next w:val="a"/>
    <w:autoRedefine/>
    <w:uiPriority w:val="39"/>
    <w:rsid w:val="00051572"/>
    <w:pPr>
      <w:keepNext/>
      <w:keepLines/>
      <w:tabs>
        <w:tab w:val="left" w:pos="1418"/>
        <w:tab w:val="right" w:leader="dot" w:pos="9072"/>
      </w:tabs>
      <w:ind w:left="1418" w:hanging="567"/>
    </w:pPr>
    <w:rPr>
      <w:rFonts w:cstheme="majorBidi" w:ascii="宋体" w:hAnsi="宋体" w:eastAsia="宋体" w:cs="宋体"/>
      <w:noProof/>
      <w:sz w:val="18"/>
      <w:szCs w:val="22"/>
      <w:lang w:eastAsia="en-US" w:bidi="en-US"/>
    </w:rPr>
  </w:style>
  <w:style w:type="paragraph" w:styleId="afc">
    <w:name w:val="Balloon Text"/>
    <w:basedOn w:val="a"/>
    <w:link w:val="afd"/>
    <w:semiHidden/>
    <w:rsid w:val="00051572"/>
    <w:pPr>
      <w:spacing w:before="0"/>
    </w:pPr>
    <w:rPr>
      <w:rFonts w:cs="宋体" w:ascii="宋体" w:hAnsi="宋体" w:eastAsia="宋体"/>
      <w:sz w:val="16"/>
      <w:szCs w:val="16"/>
    </w:rPr>
  </w:style>
  <w:style w:type="character" w:customStyle="1" w:styleId="afd">
    <w:name w:val="批注框文本 字符"/>
    <w:basedOn w:val="a0"/>
    <w:link w:val="afc"/>
    <w:semiHidden/>
    <w:rsid w:val="00051572"/>
    <w:rPr>
      <w:rFonts w:cs="宋体" w:ascii="宋体" w:hAnsi="宋体" w:eastAsia="宋体"/>
      <w:sz w:val="16"/>
      <w:szCs w:val="16"/>
      <w:lang w:val="fr-FR" w:eastAsia="fr-FR"/>
    </w:rPr>
  </w:style>
  <w:style w:type="table" w:styleId="21">
    <w:name w:val="Table Classic 2"/>
    <w:basedOn w:val="a1"/>
    <w:rsid w:val="00C72CF6"/>
    <w:pPr>
      <w:ind w:left="0" w:firstLine="0"/>
    </w:pPr>
    <w:tblPr>
      <w:tblBorders>
        <w:top w:val="single" w:sz="12" w:space="0" w:color="000000"/>
        <w:bottom w:val="single" w:sz="12" w:space="0" w:color="000000"/>
      </w:tblBorders>
    </w:tblPr>
    <w:tcPr>
      <w:shd w:val="clear" w:color="auto" w:fill="auto"/>
    </w:tcPr>
    <w:tblStylePr w:type="firstRow">
      <w:rPr>
        <w:color w:val="FFFFFF"/>
      </w:rPr>
      <w:tblPr/>
      <w:tcPr>
        <w:shd w:val="clear" w:color="auto" w:fill="FF6600"/>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shd w:val="clear" w:color="auto" w:fill="363636"/>
      </w:tcPr>
    </w:tblStylePr>
    <w:tblStylePr w:type="swCell">
      <w:rPr>
        <w:color w:val="auto"/>
      </w:rPr>
      <w:tblPr/>
      <w:tcPr>
        <w:tcBorders>
          <w:tl2br w:val="none" w:sz="0" w:space="0" w:color="auto"/>
          <w:tr2bl w:val="none" w:sz="0" w:space="0" w:color="auto"/>
        </w:tcBorders>
      </w:tcPr>
    </w:tblStylePr>
  </w:style>
  <w:style w:type="table" w:styleId="11">
    <w:name w:val="Table Colorful 1"/>
    <w:basedOn w:val="a1"/>
    <w:rsid w:val="00B40C4D"/>
    <w:pPr>
      <w:ind w:left="0" w:firstLine="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clear" w:color="auto" w:fill="BCBCBC"/>
    </w:tcPr>
    <w:tblStylePr w:type="firstRow">
      <w:rPr>
        <w:b/>
        <w:bCs/>
        <w:i/>
        <w:iCs/>
      </w:rPr>
      <w:tblPr/>
      <w:tcPr>
        <w:shd w:val="clear" w:color="auto" w:fill="363636"/>
      </w:tcPr>
    </w:tblStylePr>
    <w:tblStylePr w:type="firstCol">
      <w:rPr>
        <w:b/>
        <w:bCs/>
        <w:i/>
        <w:iCs/>
      </w:rPr>
      <w:tblPr/>
      <w:tcPr>
        <w:shd w:val="clear" w:color="auto" w:fill="FF6600"/>
      </w:tcPr>
    </w:tblStylePr>
    <w:tblStylePr w:type="nwCell">
      <w:tblPr/>
      <w:tcPr>
        <w:shd w:val="clear" w:color="auto" w:fill="363636"/>
      </w:tcPr>
    </w:tblStylePr>
    <w:tblStylePr w:type="swCell">
      <w:rPr>
        <w:b/>
        <w:bCs/>
        <w:i w:val="0"/>
        <w:iCs w:val="0"/>
      </w:rPr>
    </w:tblStylePr>
  </w:style>
  <w:style w:type="table" w:styleId="81">
    <w:name w:val="Table List 8"/>
    <w:basedOn w:val="a1"/>
    <w:rsid w:val="00B40C4D"/>
    <w:pPr>
      <w:ind w:left="0" w:firstLine="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shd w:val="clear" w:color="auto" w:fill="BCBCBC"/>
    </w:tcPr>
    <w:tblStylePr w:type="firstRow">
      <w:rPr>
        <w:b/>
        <w:bCs/>
        <w:i/>
        <w:iCs/>
      </w:rPr>
      <w:tblPr/>
      <w:tcPr>
        <w:shd w:val="clear" w:color="auto" w:fill="FF6600"/>
      </w:tcPr>
    </w:tblStylePr>
    <w:tblStylePr w:type="lastRow">
      <w:rPr>
        <w:b/>
        <w:bCs/>
      </w:rPr>
      <w:tblPr/>
      <w:tcPr>
        <w:shd w:val="clear" w:color="auto" w:fill="FF6600"/>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shd w:val="clear" w:color="auto" w:fill="BCBCBC"/>
      </w:tcPr>
    </w:tblStylePr>
    <w:tblStylePr w:type="band2Horz">
      <w:tblPr/>
      <w:tcPr>
        <w:shd w:val="clear" w:color="auto" w:fill="363636"/>
      </w:tcPr>
    </w:tblStylePr>
  </w:style>
  <w:style w:type="table" w:styleId="31">
    <w:name w:val="Table Classic 3"/>
    <w:basedOn w:val="a1"/>
    <w:rsid w:val="00B40C4D"/>
    <w:pPr>
      <w:ind w:left="0" w:firstLine="0"/>
    </w:pPr>
    <w:tblPr>
      <w:tblBorders>
        <w:top w:val="single" w:sz="12" w:space="0" w:color="000000"/>
        <w:left w:val="single" w:sz="12" w:space="0" w:color="000000"/>
        <w:bottom w:val="single" w:sz="12" w:space="0" w:color="000000"/>
        <w:right w:val="single" w:sz="12" w:space="0" w:color="000000"/>
      </w:tblBorders>
    </w:tblPr>
    <w:tcPr>
      <w:shd w:val="clear" w:color="auto" w:fill="BCBCBC"/>
    </w:tcPr>
    <w:tblStylePr w:type="firstRow">
      <w:rPr>
        <w:b/>
        <w:bCs/>
        <w:i/>
        <w:iCs/>
        <w:color w:val="FFFFFF"/>
      </w:rPr>
      <w:tblPr/>
      <w:tcPr>
        <w:shd w:val="clear" w:color="auto" w:fill="363636"/>
      </w:tcPr>
    </w:tblStylePr>
    <w:tblStylePr w:type="lastRow">
      <w:rPr>
        <w:color w:val="FF660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e">
    <w:name w:val="Unresolved Mention"/>
    <w:basedOn w:val="a0"/>
    <w:uiPriority w:val="99"/>
    <w:semiHidden/>
    <w:unhideWhenUsed/>
    <w:rsid w:val="00A13E9F"/>
    <w:rPr>
      <w:color w:val="605E5C"/>
      <w:shd w:val="clear" w:color="auto" w:fill="E1DFDD"/>
    </w:rPr>
  </w:style>
  <w:style w:type="paragraph" w:styleId="aff">
    <w:name w:val="Normal (Web)"/>
    <w:basedOn w:val="a"/>
    <w:uiPriority w:val="99"/>
    <w:unhideWhenUsed/>
    <w:rsid w:val="007047B5"/>
    <w:pPr>
      <w:spacing w:before="100" w:beforeAutospacing="1" w:after="100" w:afterAutospacing="1"/>
    </w:pPr>
    <w:rPr>
      <w:rFonts w:ascii="宋体" w:eastAsia="宋体" w:hAnsi="宋体" w:cs="宋体"/>
      <w:sz w:val="24"/>
      <w:lang w:val="en-US" w:eastAsia="zh-CN"/>
    </w:rPr>
  </w:style>
  <w:style w:type="character" w:customStyle="1" w:styleId="qnt-strong">
    <w:name w:val="qnt-strong"/>
    <w:basedOn w:val="a0"/>
    <w:rsid w:val="00692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01">
      <w:bodyDiv w:val="1"/>
      <w:marLeft w:val="0"/>
      <w:marRight w:val="0"/>
      <w:marTop w:val="0"/>
      <w:marBottom w:val="0"/>
      <w:divBdr>
        <w:top w:val="none" w:sz="0" w:space="0" w:color="auto"/>
        <w:left w:val="none" w:sz="0" w:space="0" w:color="auto"/>
        <w:bottom w:val="none" w:sz="0" w:space="0" w:color="auto"/>
        <w:right w:val="none" w:sz="0" w:space="0" w:color="auto"/>
      </w:divBdr>
    </w:div>
    <w:div w:id="39481016">
      <w:bodyDiv w:val="1"/>
      <w:marLeft w:val="0"/>
      <w:marRight w:val="0"/>
      <w:marTop w:val="0"/>
      <w:marBottom w:val="0"/>
      <w:divBdr>
        <w:top w:val="none" w:sz="0" w:space="0" w:color="auto"/>
        <w:left w:val="none" w:sz="0" w:space="0" w:color="auto"/>
        <w:bottom w:val="none" w:sz="0" w:space="0" w:color="auto"/>
        <w:right w:val="none" w:sz="0" w:space="0" w:color="auto"/>
      </w:divBdr>
    </w:div>
    <w:div w:id="43799558">
      <w:bodyDiv w:val="1"/>
      <w:marLeft w:val="0"/>
      <w:marRight w:val="0"/>
      <w:marTop w:val="0"/>
      <w:marBottom w:val="0"/>
      <w:divBdr>
        <w:top w:val="none" w:sz="0" w:space="0" w:color="auto"/>
        <w:left w:val="none" w:sz="0" w:space="0" w:color="auto"/>
        <w:bottom w:val="none" w:sz="0" w:space="0" w:color="auto"/>
        <w:right w:val="none" w:sz="0" w:space="0" w:color="auto"/>
      </w:divBdr>
    </w:div>
    <w:div w:id="44986536">
      <w:bodyDiv w:val="1"/>
      <w:marLeft w:val="0"/>
      <w:marRight w:val="0"/>
      <w:marTop w:val="0"/>
      <w:marBottom w:val="0"/>
      <w:divBdr>
        <w:top w:val="none" w:sz="0" w:space="0" w:color="auto"/>
        <w:left w:val="none" w:sz="0" w:space="0" w:color="auto"/>
        <w:bottom w:val="none" w:sz="0" w:space="0" w:color="auto"/>
        <w:right w:val="none" w:sz="0" w:space="0" w:color="auto"/>
      </w:divBdr>
    </w:div>
    <w:div w:id="73204139">
      <w:bodyDiv w:val="1"/>
      <w:marLeft w:val="0"/>
      <w:marRight w:val="0"/>
      <w:marTop w:val="0"/>
      <w:marBottom w:val="0"/>
      <w:divBdr>
        <w:top w:val="none" w:sz="0" w:space="0" w:color="auto"/>
        <w:left w:val="none" w:sz="0" w:space="0" w:color="auto"/>
        <w:bottom w:val="none" w:sz="0" w:space="0" w:color="auto"/>
        <w:right w:val="none" w:sz="0" w:space="0" w:color="auto"/>
      </w:divBdr>
    </w:div>
    <w:div w:id="96756491">
      <w:bodyDiv w:val="1"/>
      <w:marLeft w:val="0"/>
      <w:marRight w:val="0"/>
      <w:marTop w:val="0"/>
      <w:marBottom w:val="0"/>
      <w:divBdr>
        <w:top w:val="none" w:sz="0" w:space="0" w:color="auto"/>
        <w:left w:val="none" w:sz="0" w:space="0" w:color="auto"/>
        <w:bottom w:val="none" w:sz="0" w:space="0" w:color="auto"/>
        <w:right w:val="none" w:sz="0" w:space="0" w:color="auto"/>
      </w:divBdr>
    </w:div>
    <w:div w:id="161972078">
      <w:bodyDiv w:val="1"/>
      <w:marLeft w:val="0"/>
      <w:marRight w:val="0"/>
      <w:marTop w:val="0"/>
      <w:marBottom w:val="0"/>
      <w:divBdr>
        <w:top w:val="none" w:sz="0" w:space="0" w:color="auto"/>
        <w:left w:val="none" w:sz="0" w:space="0" w:color="auto"/>
        <w:bottom w:val="none" w:sz="0" w:space="0" w:color="auto"/>
        <w:right w:val="none" w:sz="0" w:space="0" w:color="auto"/>
      </w:divBdr>
    </w:div>
    <w:div w:id="209616061">
      <w:bodyDiv w:val="1"/>
      <w:marLeft w:val="0"/>
      <w:marRight w:val="0"/>
      <w:marTop w:val="0"/>
      <w:marBottom w:val="0"/>
      <w:divBdr>
        <w:top w:val="none" w:sz="0" w:space="0" w:color="auto"/>
        <w:left w:val="none" w:sz="0" w:space="0" w:color="auto"/>
        <w:bottom w:val="none" w:sz="0" w:space="0" w:color="auto"/>
        <w:right w:val="none" w:sz="0" w:space="0" w:color="auto"/>
      </w:divBdr>
    </w:div>
    <w:div w:id="215708287">
      <w:bodyDiv w:val="1"/>
      <w:marLeft w:val="0"/>
      <w:marRight w:val="0"/>
      <w:marTop w:val="0"/>
      <w:marBottom w:val="0"/>
      <w:divBdr>
        <w:top w:val="none" w:sz="0" w:space="0" w:color="auto"/>
        <w:left w:val="none" w:sz="0" w:space="0" w:color="auto"/>
        <w:bottom w:val="none" w:sz="0" w:space="0" w:color="auto"/>
        <w:right w:val="none" w:sz="0" w:space="0" w:color="auto"/>
      </w:divBdr>
    </w:div>
    <w:div w:id="232278913">
      <w:bodyDiv w:val="1"/>
      <w:marLeft w:val="0"/>
      <w:marRight w:val="0"/>
      <w:marTop w:val="0"/>
      <w:marBottom w:val="0"/>
      <w:divBdr>
        <w:top w:val="none" w:sz="0" w:space="0" w:color="auto"/>
        <w:left w:val="none" w:sz="0" w:space="0" w:color="auto"/>
        <w:bottom w:val="none" w:sz="0" w:space="0" w:color="auto"/>
        <w:right w:val="none" w:sz="0" w:space="0" w:color="auto"/>
      </w:divBdr>
    </w:div>
    <w:div w:id="337462907">
      <w:bodyDiv w:val="1"/>
      <w:marLeft w:val="0"/>
      <w:marRight w:val="0"/>
      <w:marTop w:val="0"/>
      <w:marBottom w:val="0"/>
      <w:divBdr>
        <w:top w:val="none" w:sz="0" w:space="0" w:color="auto"/>
        <w:left w:val="none" w:sz="0" w:space="0" w:color="auto"/>
        <w:bottom w:val="none" w:sz="0" w:space="0" w:color="auto"/>
        <w:right w:val="none" w:sz="0" w:space="0" w:color="auto"/>
      </w:divBdr>
    </w:div>
    <w:div w:id="346441532">
      <w:bodyDiv w:val="1"/>
      <w:marLeft w:val="0"/>
      <w:marRight w:val="0"/>
      <w:marTop w:val="0"/>
      <w:marBottom w:val="0"/>
      <w:divBdr>
        <w:top w:val="none" w:sz="0" w:space="0" w:color="auto"/>
        <w:left w:val="none" w:sz="0" w:space="0" w:color="auto"/>
        <w:bottom w:val="none" w:sz="0" w:space="0" w:color="auto"/>
        <w:right w:val="none" w:sz="0" w:space="0" w:color="auto"/>
      </w:divBdr>
    </w:div>
    <w:div w:id="367687288">
      <w:bodyDiv w:val="1"/>
      <w:marLeft w:val="0"/>
      <w:marRight w:val="0"/>
      <w:marTop w:val="0"/>
      <w:marBottom w:val="0"/>
      <w:divBdr>
        <w:top w:val="none" w:sz="0" w:space="0" w:color="auto"/>
        <w:left w:val="none" w:sz="0" w:space="0" w:color="auto"/>
        <w:bottom w:val="none" w:sz="0" w:space="0" w:color="auto"/>
        <w:right w:val="none" w:sz="0" w:space="0" w:color="auto"/>
      </w:divBdr>
    </w:div>
    <w:div w:id="371659602">
      <w:bodyDiv w:val="1"/>
      <w:marLeft w:val="0"/>
      <w:marRight w:val="0"/>
      <w:marTop w:val="0"/>
      <w:marBottom w:val="0"/>
      <w:divBdr>
        <w:top w:val="none" w:sz="0" w:space="0" w:color="auto"/>
        <w:left w:val="none" w:sz="0" w:space="0" w:color="auto"/>
        <w:bottom w:val="none" w:sz="0" w:space="0" w:color="auto"/>
        <w:right w:val="none" w:sz="0" w:space="0" w:color="auto"/>
      </w:divBdr>
    </w:div>
    <w:div w:id="399404533">
      <w:bodyDiv w:val="1"/>
      <w:marLeft w:val="0"/>
      <w:marRight w:val="0"/>
      <w:marTop w:val="0"/>
      <w:marBottom w:val="0"/>
      <w:divBdr>
        <w:top w:val="none" w:sz="0" w:space="0" w:color="auto"/>
        <w:left w:val="none" w:sz="0" w:space="0" w:color="auto"/>
        <w:bottom w:val="none" w:sz="0" w:space="0" w:color="auto"/>
        <w:right w:val="none" w:sz="0" w:space="0" w:color="auto"/>
      </w:divBdr>
    </w:div>
    <w:div w:id="427893762">
      <w:bodyDiv w:val="1"/>
      <w:marLeft w:val="0"/>
      <w:marRight w:val="0"/>
      <w:marTop w:val="0"/>
      <w:marBottom w:val="0"/>
      <w:divBdr>
        <w:top w:val="none" w:sz="0" w:space="0" w:color="auto"/>
        <w:left w:val="none" w:sz="0" w:space="0" w:color="auto"/>
        <w:bottom w:val="none" w:sz="0" w:space="0" w:color="auto"/>
        <w:right w:val="none" w:sz="0" w:space="0" w:color="auto"/>
      </w:divBdr>
    </w:div>
    <w:div w:id="460268224">
      <w:bodyDiv w:val="1"/>
      <w:marLeft w:val="0"/>
      <w:marRight w:val="0"/>
      <w:marTop w:val="0"/>
      <w:marBottom w:val="0"/>
      <w:divBdr>
        <w:top w:val="none" w:sz="0" w:space="0" w:color="auto"/>
        <w:left w:val="none" w:sz="0" w:space="0" w:color="auto"/>
        <w:bottom w:val="none" w:sz="0" w:space="0" w:color="auto"/>
        <w:right w:val="none" w:sz="0" w:space="0" w:color="auto"/>
      </w:divBdr>
    </w:div>
    <w:div w:id="468086496">
      <w:bodyDiv w:val="1"/>
      <w:marLeft w:val="0"/>
      <w:marRight w:val="0"/>
      <w:marTop w:val="0"/>
      <w:marBottom w:val="0"/>
      <w:divBdr>
        <w:top w:val="none" w:sz="0" w:space="0" w:color="auto"/>
        <w:left w:val="none" w:sz="0" w:space="0" w:color="auto"/>
        <w:bottom w:val="none" w:sz="0" w:space="0" w:color="auto"/>
        <w:right w:val="none" w:sz="0" w:space="0" w:color="auto"/>
      </w:divBdr>
    </w:div>
    <w:div w:id="477722944">
      <w:bodyDiv w:val="1"/>
      <w:marLeft w:val="0"/>
      <w:marRight w:val="0"/>
      <w:marTop w:val="0"/>
      <w:marBottom w:val="0"/>
      <w:divBdr>
        <w:top w:val="none" w:sz="0" w:space="0" w:color="auto"/>
        <w:left w:val="none" w:sz="0" w:space="0" w:color="auto"/>
        <w:bottom w:val="none" w:sz="0" w:space="0" w:color="auto"/>
        <w:right w:val="none" w:sz="0" w:space="0" w:color="auto"/>
      </w:divBdr>
    </w:div>
    <w:div w:id="537544445">
      <w:bodyDiv w:val="1"/>
      <w:marLeft w:val="0"/>
      <w:marRight w:val="0"/>
      <w:marTop w:val="0"/>
      <w:marBottom w:val="0"/>
      <w:divBdr>
        <w:top w:val="none" w:sz="0" w:space="0" w:color="auto"/>
        <w:left w:val="none" w:sz="0" w:space="0" w:color="auto"/>
        <w:bottom w:val="none" w:sz="0" w:space="0" w:color="auto"/>
        <w:right w:val="none" w:sz="0" w:space="0" w:color="auto"/>
      </w:divBdr>
    </w:div>
    <w:div w:id="589851264">
      <w:bodyDiv w:val="1"/>
      <w:marLeft w:val="0"/>
      <w:marRight w:val="0"/>
      <w:marTop w:val="0"/>
      <w:marBottom w:val="0"/>
      <w:divBdr>
        <w:top w:val="none" w:sz="0" w:space="0" w:color="auto"/>
        <w:left w:val="none" w:sz="0" w:space="0" w:color="auto"/>
        <w:bottom w:val="none" w:sz="0" w:space="0" w:color="auto"/>
        <w:right w:val="none" w:sz="0" w:space="0" w:color="auto"/>
      </w:divBdr>
    </w:div>
    <w:div w:id="700935989">
      <w:bodyDiv w:val="1"/>
      <w:marLeft w:val="0"/>
      <w:marRight w:val="0"/>
      <w:marTop w:val="0"/>
      <w:marBottom w:val="0"/>
      <w:divBdr>
        <w:top w:val="none" w:sz="0" w:space="0" w:color="auto"/>
        <w:left w:val="none" w:sz="0" w:space="0" w:color="auto"/>
        <w:bottom w:val="none" w:sz="0" w:space="0" w:color="auto"/>
        <w:right w:val="none" w:sz="0" w:space="0" w:color="auto"/>
      </w:divBdr>
    </w:div>
    <w:div w:id="707223899">
      <w:bodyDiv w:val="1"/>
      <w:marLeft w:val="0"/>
      <w:marRight w:val="0"/>
      <w:marTop w:val="0"/>
      <w:marBottom w:val="0"/>
      <w:divBdr>
        <w:top w:val="none" w:sz="0" w:space="0" w:color="auto"/>
        <w:left w:val="none" w:sz="0" w:space="0" w:color="auto"/>
        <w:bottom w:val="none" w:sz="0" w:space="0" w:color="auto"/>
        <w:right w:val="none" w:sz="0" w:space="0" w:color="auto"/>
      </w:divBdr>
    </w:div>
    <w:div w:id="759184518">
      <w:bodyDiv w:val="1"/>
      <w:marLeft w:val="0"/>
      <w:marRight w:val="0"/>
      <w:marTop w:val="0"/>
      <w:marBottom w:val="0"/>
      <w:divBdr>
        <w:top w:val="none" w:sz="0" w:space="0" w:color="auto"/>
        <w:left w:val="none" w:sz="0" w:space="0" w:color="auto"/>
        <w:bottom w:val="none" w:sz="0" w:space="0" w:color="auto"/>
        <w:right w:val="none" w:sz="0" w:space="0" w:color="auto"/>
      </w:divBdr>
    </w:div>
    <w:div w:id="781267395">
      <w:bodyDiv w:val="1"/>
      <w:marLeft w:val="0"/>
      <w:marRight w:val="0"/>
      <w:marTop w:val="0"/>
      <w:marBottom w:val="0"/>
      <w:divBdr>
        <w:top w:val="none" w:sz="0" w:space="0" w:color="auto"/>
        <w:left w:val="none" w:sz="0" w:space="0" w:color="auto"/>
        <w:bottom w:val="none" w:sz="0" w:space="0" w:color="auto"/>
        <w:right w:val="none" w:sz="0" w:space="0" w:color="auto"/>
      </w:divBdr>
    </w:div>
    <w:div w:id="873420684">
      <w:bodyDiv w:val="1"/>
      <w:marLeft w:val="0"/>
      <w:marRight w:val="0"/>
      <w:marTop w:val="0"/>
      <w:marBottom w:val="0"/>
      <w:divBdr>
        <w:top w:val="none" w:sz="0" w:space="0" w:color="auto"/>
        <w:left w:val="none" w:sz="0" w:space="0" w:color="auto"/>
        <w:bottom w:val="none" w:sz="0" w:space="0" w:color="auto"/>
        <w:right w:val="none" w:sz="0" w:space="0" w:color="auto"/>
      </w:divBdr>
    </w:div>
    <w:div w:id="889071069">
      <w:bodyDiv w:val="1"/>
      <w:marLeft w:val="0"/>
      <w:marRight w:val="0"/>
      <w:marTop w:val="0"/>
      <w:marBottom w:val="0"/>
      <w:divBdr>
        <w:top w:val="none" w:sz="0" w:space="0" w:color="auto"/>
        <w:left w:val="none" w:sz="0" w:space="0" w:color="auto"/>
        <w:bottom w:val="none" w:sz="0" w:space="0" w:color="auto"/>
        <w:right w:val="none" w:sz="0" w:space="0" w:color="auto"/>
      </w:divBdr>
    </w:div>
    <w:div w:id="899249078">
      <w:bodyDiv w:val="1"/>
      <w:marLeft w:val="0"/>
      <w:marRight w:val="0"/>
      <w:marTop w:val="0"/>
      <w:marBottom w:val="0"/>
      <w:divBdr>
        <w:top w:val="none" w:sz="0" w:space="0" w:color="auto"/>
        <w:left w:val="none" w:sz="0" w:space="0" w:color="auto"/>
        <w:bottom w:val="none" w:sz="0" w:space="0" w:color="auto"/>
        <w:right w:val="none" w:sz="0" w:space="0" w:color="auto"/>
      </w:divBdr>
    </w:div>
    <w:div w:id="955523691">
      <w:bodyDiv w:val="1"/>
      <w:marLeft w:val="0"/>
      <w:marRight w:val="0"/>
      <w:marTop w:val="0"/>
      <w:marBottom w:val="0"/>
      <w:divBdr>
        <w:top w:val="none" w:sz="0" w:space="0" w:color="auto"/>
        <w:left w:val="none" w:sz="0" w:space="0" w:color="auto"/>
        <w:bottom w:val="none" w:sz="0" w:space="0" w:color="auto"/>
        <w:right w:val="none" w:sz="0" w:space="0" w:color="auto"/>
      </w:divBdr>
    </w:div>
    <w:div w:id="984775383">
      <w:bodyDiv w:val="1"/>
      <w:marLeft w:val="0"/>
      <w:marRight w:val="0"/>
      <w:marTop w:val="0"/>
      <w:marBottom w:val="0"/>
      <w:divBdr>
        <w:top w:val="none" w:sz="0" w:space="0" w:color="auto"/>
        <w:left w:val="none" w:sz="0" w:space="0" w:color="auto"/>
        <w:bottom w:val="none" w:sz="0" w:space="0" w:color="auto"/>
        <w:right w:val="none" w:sz="0" w:space="0" w:color="auto"/>
      </w:divBdr>
    </w:div>
    <w:div w:id="989822612">
      <w:bodyDiv w:val="1"/>
      <w:marLeft w:val="0"/>
      <w:marRight w:val="0"/>
      <w:marTop w:val="0"/>
      <w:marBottom w:val="0"/>
      <w:divBdr>
        <w:top w:val="none" w:sz="0" w:space="0" w:color="auto"/>
        <w:left w:val="none" w:sz="0" w:space="0" w:color="auto"/>
        <w:bottom w:val="none" w:sz="0" w:space="0" w:color="auto"/>
        <w:right w:val="none" w:sz="0" w:space="0" w:color="auto"/>
      </w:divBdr>
    </w:div>
    <w:div w:id="991831486">
      <w:bodyDiv w:val="1"/>
      <w:marLeft w:val="0"/>
      <w:marRight w:val="0"/>
      <w:marTop w:val="0"/>
      <w:marBottom w:val="0"/>
      <w:divBdr>
        <w:top w:val="none" w:sz="0" w:space="0" w:color="auto"/>
        <w:left w:val="none" w:sz="0" w:space="0" w:color="auto"/>
        <w:bottom w:val="none" w:sz="0" w:space="0" w:color="auto"/>
        <w:right w:val="none" w:sz="0" w:space="0" w:color="auto"/>
      </w:divBdr>
    </w:div>
    <w:div w:id="1001590512">
      <w:bodyDiv w:val="1"/>
      <w:marLeft w:val="0"/>
      <w:marRight w:val="0"/>
      <w:marTop w:val="0"/>
      <w:marBottom w:val="0"/>
      <w:divBdr>
        <w:top w:val="none" w:sz="0" w:space="0" w:color="auto"/>
        <w:left w:val="none" w:sz="0" w:space="0" w:color="auto"/>
        <w:bottom w:val="none" w:sz="0" w:space="0" w:color="auto"/>
        <w:right w:val="none" w:sz="0" w:space="0" w:color="auto"/>
      </w:divBdr>
    </w:div>
    <w:div w:id="1002322389">
      <w:bodyDiv w:val="1"/>
      <w:marLeft w:val="0"/>
      <w:marRight w:val="0"/>
      <w:marTop w:val="0"/>
      <w:marBottom w:val="0"/>
      <w:divBdr>
        <w:top w:val="none" w:sz="0" w:space="0" w:color="auto"/>
        <w:left w:val="none" w:sz="0" w:space="0" w:color="auto"/>
        <w:bottom w:val="none" w:sz="0" w:space="0" w:color="auto"/>
        <w:right w:val="none" w:sz="0" w:space="0" w:color="auto"/>
      </w:divBdr>
    </w:div>
    <w:div w:id="1008213857">
      <w:bodyDiv w:val="1"/>
      <w:marLeft w:val="0"/>
      <w:marRight w:val="0"/>
      <w:marTop w:val="0"/>
      <w:marBottom w:val="0"/>
      <w:divBdr>
        <w:top w:val="none" w:sz="0" w:space="0" w:color="auto"/>
        <w:left w:val="none" w:sz="0" w:space="0" w:color="auto"/>
        <w:bottom w:val="none" w:sz="0" w:space="0" w:color="auto"/>
        <w:right w:val="none" w:sz="0" w:space="0" w:color="auto"/>
      </w:divBdr>
    </w:div>
    <w:div w:id="1061749729">
      <w:bodyDiv w:val="1"/>
      <w:marLeft w:val="0"/>
      <w:marRight w:val="0"/>
      <w:marTop w:val="0"/>
      <w:marBottom w:val="0"/>
      <w:divBdr>
        <w:top w:val="none" w:sz="0" w:space="0" w:color="auto"/>
        <w:left w:val="none" w:sz="0" w:space="0" w:color="auto"/>
        <w:bottom w:val="none" w:sz="0" w:space="0" w:color="auto"/>
        <w:right w:val="none" w:sz="0" w:space="0" w:color="auto"/>
      </w:divBdr>
    </w:div>
    <w:div w:id="1063018484">
      <w:bodyDiv w:val="1"/>
      <w:marLeft w:val="0"/>
      <w:marRight w:val="0"/>
      <w:marTop w:val="0"/>
      <w:marBottom w:val="0"/>
      <w:divBdr>
        <w:top w:val="none" w:sz="0" w:space="0" w:color="auto"/>
        <w:left w:val="none" w:sz="0" w:space="0" w:color="auto"/>
        <w:bottom w:val="none" w:sz="0" w:space="0" w:color="auto"/>
        <w:right w:val="none" w:sz="0" w:space="0" w:color="auto"/>
      </w:divBdr>
    </w:div>
    <w:div w:id="1064185335">
      <w:bodyDiv w:val="1"/>
      <w:marLeft w:val="0"/>
      <w:marRight w:val="0"/>
      <w:marTop w:val="0"/>
      <w:marBottom w:val="0"/>
      <w:divBdr>
        <w:top w:val="none" w:sz="0" w:space="0" w:color="auto"/>
        <w:left w:val="none" w:sz="0" w:space="0" w:color="auto"/>
        <w:bottom w:val="none" w:sz="0" w:space="0" w:color="auto"/>
        <w:right w:val="none" w:sz="0" w:space="0" w:color="auto"/>
      </w:divBdr>
    </w:div>
    <w:div w:id="1085031940">
      <w:bodyDiv w:val="1"/>
      <w:marLeft w:val="0"/>
      <w:marRight w:val="0"/>
      <w:marTop w:val="0"/>
      <w:marBottom w:val="0"/>
      <w:divBdr>
        <w:top w:val="none" w:sz="0" w:space="0" w:color="auto"/>
        <w:left w:val="none" w:sz="0" w:space="0" w:color="auto"/>
        <w:bottom w:val="none" w:sz="0" w:space="0" w:color="auto"/>
        <w:right w:val="none" w:sz="0" w:space="0" w:color="auto"/>
      </w:divBdr>
    </w:div>
    <w:div w:id="1157843416">
      <w:bodyDiv w:val="1"/>
      <w:marLeft w:val="0"/>
      <w:marRight w:val="0"/>
      <w:marTop w:val="0"/>
      <w:marBottom w:val="0"/>
      <w:divBdr>
        <w:top w:val="none" w:sz="0" w:space="0" w:color="auto"/>
        <w:left w:val="none" w:sz="0" w:space="0" w:color="auto"/>
        <w:bottom w:val="none" w:sz="0" w:space="0" w:color="auto"/>
        <w:right w:val="none" w:sz="0" w:space="0" w:color="auto"/>
      </w:divBdr>
    </w:div>
    <w:div w:id="1190800789">
      <w:bodyDiv w:val="1"/>
      <w:marLeft w:val="0"/>
      <w:marRight w:val="0"/>
      <w:marTop w:val="0"/>
      <w:marBottom w:val="0"/>
      <w:divBdr>
        <w:top w:val="none" w:sz="0" w:space="0" w:color="auto"/>
        <w:left w:val="none" w:sz="0" w:space="0" w:color="auto"/>
        <w:bottom w:val="none" w:sz="0" w:space="0" w:color="auto"/>
        <w:right w:val="none" w:sz="0" w:space="0" w:color="auto"/>
      </w:divBdr>
    </w:div>
    <w:div w:id="1193803884">
      <w:bodyDiv w:val="1"/>
      <w:marLeft w:val="0"/>
      <w:marRight w:val="0"/>
      <w:marTop w:val="0"/>
      <w:marBottom w:val="0"/>
      <w:divBdr>
        <w:top w:val="none" w:sz="0" w:space="0" w:color="auto"/>
        <w:left w:val="none" w:sz="0" w:space="0" w:color="auto"/>
        <w:bottom w:val="none" w:sz="0" w:space="0" w:color="auto"/>
        <w:right w:val="none" w:sz="0" w:space="0" w:color="auto"/>
      </w:divBdr>
    </w:div>
    <w:div w:id="1232083384">
      <w:bodyDiv w:val="1"/>
      <w:marLeft w:val="0"/>
      <w:marRight w:val="0"/>
      <w:marTop w:val="0"/>
      <w:marBottom w:val="0"/>
      <w:divBdr>
        <w:top w:val="none" w:sz="0" w:space="0" w:color="auto"/>
        <w:left w:val="none" w:sz="0" w:space="0" w:color="auto"/>
        <w:bottom w:val="none" w:sz="0" w:space="0" w:color="auto"/>
        <w:right w:val="none" w:sz="0" w:space="0" w:color="auto"/>
      </w:divBdr>
    </w:div>
    <w:div w:id="1234193924">
      <w:bodyDiv w:val="1"/>
      <w:marLeft w:val="0"/>
      <w:marRight w:val="0"/>
      <w:marTop w:val="0"/>
      <w:marBottom w:val="0"/>
      <w:divBdr>
        <w:top w:val="none" w:sz="0" w:space="0" w:color="auto"/>
        <w:left w:val="none" w:sz="0" w:space="0" w:color="auto"/>
        <w:bottom w:val="none" w:sz="0" w:space="0" w:color="auto"/>
        <w:right w:val="none" w:sz="0" w:space="0" w:color="auto"/>
      </w:divBdr>
    </w:div>
    <w:div w:id="1290552552">
      <w:bodyDiv w:val="1"/>
      <w:marLeft w:val="0"/>
      <w:marRight w:val="0"/>
      <w:marTop w:val="0"/>
      <w:marBottom w:val="0"/>
      <w:divBdr>
        <w:top w:val="none" w:sz="0" w:space="0" w:color="auto"/>
        <w:left w:val="none" w:sz="0" w:space="0" w:color="auto"/>
        <w:bottom w:val="none" w:sz="0" w:space="0" w:color="auto"/>
        <w:right w:val="none" w:sz="0" w:space="0" w:color="auto"/>
      </w:divBdr>
    </w:div>
    <w:div w:id="1301883934">
      <w:bodyDiv w:val="1"/>
      <w:marLeft w:val="0"/>
      <w:marRight w:val="0"/>
      <w:marTop w:val="0"/>
      <w:marBottom w:val="0"/>
      <w:divBdr>
        <w:top w:val="none" w:sz="0" w:space="0" w:color="auto"/>
        <w:left w:val="none" w:sz="0" w:space="0" w:color="auto"/>
        <w:bottom w:val="none" w:sz="0" w:space="0" w:color="auto"/>
        <w:right w:val="none" w:sz="0" w:space="0" w:color="auto"/>
      </w:divBdr>
    </w:div>
    <w:div w:id="1379088599">
      <w:bodyDiv w:val="1"/>
      <w:marLeft w:val="0"/>
      <w:marRight w:val="0"/>
      <w:marTop w:val="0"/>
      <w:marBottom w:val="0"/>
      <w:divBdr>
        <w:top w:val="none" w:sz="0" w:space="0" w:color="auto"/>
        <w:left w:val="none" w:sz="0" w:space="0" w:color="auto"/>
        <w:bottom w:val="none" w:sz="0" w:space="0" w:color="auto"/>
        <w:right w:val="none" w:sz="0" w:space="0" w:color="auto"/>
      </w:divBdr>
    </w:div>
    <w:div w:id="1443920434">
      <w:bodyDiv w:val="1"/>
      <w:marLeft w:val="0"/>
      <w:marRight w:val="0"/>
      <w:marTop w:val="0"/>
      <w:marBottom w:val="0"/>
      <w:divBdr>
        <w:top w:val="none" w:sz="0" w:space="0" w:color="auto"/>
        <w:left w:val="none" w:sz="0" w:space="0" w:color="auto"/>
        <w:bottom w:val="none" w:sz="0" w:space="0" w:color="auto"/>
        <w:right w:val="none" w:sz="0" w:space="0" w:color="auto"/>
      </w:divBdr>
    </w:div>
    <w:div w:id="1450472036">
      <w:bodyDiv w:val="1"/>
      <w:marLeft w:val="0"/>
      <w:marRight w:val="0"/>
      <w:marTop w:val="0"/>
      <w:marBottom w:val="0"/>
      <w:divBdr>
        <w:top w:val="none" w:sz="0" w:space="0" w:color="auto"/>
        <w:left w:val="none" w:sz="0" w:space="0" w:color="auto"/>
        <w:bottom w:val="none" w:sz="0" w:space="0" w:color="auto"/>
        <w:right w:val="none" w:sz="0" w:space="0" w:color="auto"/>
      </w:divBdr>
    </w:div>
    <w:div w:id="1466046038">
      <w:bodyDiv w:val="1"/>
      <w:marLeft w:val="0"/>
      <w:marRight w:val="0"/>
      <w:marTop w:val="0"/>
      <w:marBottom w:val="0"/>
      <w:divBdr>
        <w:top w:val="none" w:sz="0" w:space="0" w:color="auto"/>
        <w:left w:val="none" w:sz="0" w:space="0" w:color="auto"/>
        <w:bottom w:val="none" w:sz="0" w:space="0" w:color="auto"/>
        <w:right w:val="none" w:sz="0" w:space="0" w:color="auto"/>
      </w:divBdr>
    </w:div>
    <w:div w:id="1518033136">
      <w:bodyDiv w:val="1"/>
      <w:marLeft w:val="0"/>
      <w:marRight w:val="0"/>
      <w:marTop w:val="0"/>
      <w:marBottom w:val="0"/>
      <w:divBdr>
        <w:top w:val="none" w:sz="0" w:space="0" w:color="auto"/>
        <w:left w:val="none" w:sz="0" w:space="0" w:color="auto"/>
        <w:bottom w:val="none" w:sz="0" w:space="0" w:color="auto"/>
        <w:right w:val="none" w:sz="0" w:space="0" w:color="auto"/>
      </w:divBdr>
    </w:div>
    <w:div w:id="1518227745">
      <w:bodyDiv w:val="1"/>
      <w:marLeft w:val="0"/>
      <w:marRight w:val="0"/>
      <w:marTop w:val="0"/>
      <w:marBottom w:val="0"/>
      <w:divBdr>
        <w:top w:val="none" w:sz="0" w:space="0" w:color="auto"/>
        <w:left w:val="none" w:sz="0" w:space="0" w:color="auto"/>
        <w:bottom w:val="none" w:sz="0" w:space="0" w:color="auto"/>
        <w:right w:val="none" w:sz="0" w:space="0" w:color="auto"/>
      </w:divBdr>
    </w:div>
    <w:div w:id="1519807143">
      <w:bodyDiv w:val="1"/>
      <w:marLeft w:val="0"/>
      <w:marRight w:val="0"/>
      <w:marTop w:val="0"/>
      <w:marBottom w:val="0"/>
      <w:divBdr>
        <w:top w:val="none" w:sz="0" w:space="0" w:color="auto"/>
        <w:left w:val="none" w:sz="0" w:space="0" w:color="auto"/>
        <w:bottom w:val="none" w:sz="0" w:space="0" w:color="auto"/>
        <w:right w:val="none" w:sz="0" w:space="0" w:color="auto"/>
      </w:divBdr>
    </w:div>
    <w:div w:id="1521971327">
      <w:bodyDiv w:val="1"/>
      <w:marLeft w:val="0"/>
      <w:marRight w:val="0"/>
      <w:marTop w:val="0"/>
      <w:marBottom w:val="0"/>
      <w:divBdr>
        <w:top w:val="none" w:sz="0" w:space="0" w:color="auto"/>
        <w:left w:val="none" w:sz="0" w:space="0" w:color="auto"/>
        <w:bottom w:val="none" w:sz="0" w:space="0" w:color="auto"/>
        <w:right w:val="none" w:sz="0" w:space="0" w:color="auto"/>
      </w:divBdr>
    </w:div>
    <w:div w:id="1580217052">
      <w:bodyDiv w:val="1"/>
      <w:marLeft w:val="0"/>
      <w:marRight w:val="0"/>
      <w:marTop w:val="0"/>
      <w:marBottom w:val="0"/>
      <w:divBdr>
        <w:top w:val="none" w:sz="0" w:space="0" w:color="auto"/>
        <w:left w:val="none" w:sz="0" w:space="0" w:color="auto"/>
        <w:bottom w:val="none" w:sz="0" w:space="0" w:color="auto"/>
        <w:right w:val="none" w:sz="0" w:space="0" w:color="auto"/>
      </w:divBdr>
    </w:div>
    <w:div w:id="1623071535">
      <w:bodyDiv w:val="1"/>
      <w:marLeft w:val="0"/>
      <w:marRight w:val="0"/>
      <w:marTop w:val="0"/>
      <w:marBottom w:val="0"/>
      <w:divBdr>
        <w:top w:val="none" w:sz="0" w:space="0" w:color="auto"/>
        <w:left w:val="none" w:sz="0" w:space="0" w:color="auto"/>
        <w:bottom w:val="none" w:sz="0" w:space="0" w:color="auto"/>
        <w:right w:val="none" w:sz="0" w:space="0" w:color="auto"/>
      </w:divBdr>
    </w:div>
    <w:div w:id="1626737137">
      <w:bodyDiv w:val="1"/>
      <w:marLeft w:val="0"/>
      <w:marRight w:val="0"/>
      <w:marTop w:val="0"/>
      <w:marBottom w:val="0"/>
      <w:divBdr>
        <w:top w:val="none" w:sz="0" w:space="0" w:color="auto"/>
        <w:left w:val="none" w:sz="0" w:space="0" w:color="auto"/>
        <w:bottom w:val="none" w:sz="0" w:space="0" w:color="auto"/>
        <w:right w:val="none" w:sz="0" w:space="0" w:color="auto"/>
      </w:divBdr>
    </w:div>
    <w:div w:id="1673755027">
      <w:bodyDiv w:val="1"/>
      <w:marLeft w:val="0"/>
      <w:marRight w:val="0"/>
      <w:marTop w:val="0"/>
      <w:marBottom w:val="0"/>
      <w:divBdr>
        <w:top w:val="none" w:sz="0" w:space="0" w:color="auto"/>
        <w:left w:val="none" w:sz="0" w:space="0" w:color="auto"/>
        <w:bottom w:val="none" w:sz="0" w:space="0" w:color="auto"/>
        <w:right w:val="none" w:sz="0" w:space="0" w:color="auto"/>
      </w:divBdr>
    </w:div>
    <w:div w:id="1720741790">
      <w:bodyDiv w:val="1"/>
      <w:marLeft w:val="0"/>
      <w:marRight w:val="0"/>
      <w:marTop w:val="0"/>
      <w:marBottom w:val="0"/>
      <w:divBdr>
        <w:top w:val="none" w:sz="0" w:space="0" w:color="auto"/>
        <w:left w:val="none" w:sz="0" w:space="0" w:color="auto"/>
        <w:bottom w:val="none" w:sz="0" w:space="0" w:color="auto"/>
        <w:right w:val="none" w:sz="0" w:space="0" w:color="auto"/>
      </w:divBdr>
    </w:div>
    <w:div w:id="1785227603">
      <w:bodyDiv w:val="1"/>
      <w:marLeft w:val="0"/>
      <w:marRight w:val="0"/>
      <w:marTop w:val="0"/>
      <w:marBottom w:val="0"/>
      <w:divBdr>
        <w:top w:val="none" w:sz="0" w:space="0" w:color="auto"/>
        <w:left w:val="none" w:sz="0" w:space="0" w:color="auto"/>
        <w:bottom w:val="none" w:sz="0" w:space="0" w:color="auto"/>
        <w:right w:val="none" w:sz="0" w:space="0" w:color="auto"/>
      </w:divBdr>
    </w:div>
    <w:div w:id="1800760350">
      <w:bodyDiv w:val="1"/>
      <w:marLeft w:val="0"/>
      <w:marRight w:val="0"/>
      <w:marTop w:val="0"/>
      <w:marBottom w:val="0"/>
      <w:divBdr>
        <w:top w:val="none" w:sz="0" w:space="0" w:color="auto"/>
        <w:left w:val="none" w:sz="0" w:space="0" w:color="auto"/>
        <w:bottom w:val="none" w:sz="0" w:space="0" w:color="auto"/>
        <w:right w:val="none" w:sz="0" w:space="0" w:color="auto"/>
      </w:divBdr>
    </w:div>
    <w:div w:id="1805731355">
      <w:bodyDiv w:val="1"/>
      <w:marLeft w:val="0"/>
      <w:marRight w:val="0"/>
      <w:marTop w:val="0"/>
      <w:marBottom w:val="0"/>
      <w:divBdr>
        <w:top w:val="none" w:sz="0" w:space="0" w:color="auto"/>
        <w:left w:val="none" w:sz="0" w:space="0" w:color="auto"/>
        <w:bottom w:val="none" w:sz="0" w:space="0" w:color="auto"/>
        <w:right w:val="none" w:sz="0" w:space="0" w:color="auto"/>
      </w:divBdr>
    </w:div>
    <w:div w:id="1808008914">
      <w:bodyDiv w:val="1"/>
      <w:marLeft w:val="0"/>
      <w:marRight w:val="0"/>
      <w:marTop w:val="0"/>
      <w:marBottom w:val="0"/>
      <w:divBdr>
        <w:top w:val="none" w:sz="0" w:space="0" w:color="auto"/>
        <w:left w:val="none" w:sz="0" w:space="0" w:color="auto"/>
        <w:bottom w:val="none" w:sz="0" w:space="0" w:color="auto"/>
        <w:right w:val="none" w:sz="0" w:space="0" w:color="auto"/>
      </w:divBdr>
    </w:div>
    <w:div w:id="1893423925">
      <w:bodyDiv w:val="1"/>
      <w:marLeft w:val="0"/>
      <w:marRight w:val="0"/>
      <w:marTop w:val="0"/>
      <w:marBottom w:val="0"/>
      <w:divBdr>
        <w:top w:val="none" w:sz="0" w:space="0" w:color="auto"/>
        <w:left w:val="none" w:sz="0" w:space="0" w:color="auto"/>
        <w:bottom w:val="none" w:sz="0" w:space="0" w:color="auto"/>
        <w:right w:val="none" w:sz="0" w:space="0" w:color="auto"/>
      </w:divBdr>
    </w:div>
    <w:div w:id="1996030144">
      <w:bodyDiv w:val="1"/>
      <w:marLeft w:val="0"/>
      <w:marRight w:val="0"/>
      <w:marTop w:val="0"/>
      <w:marBottom w:val="0"/>
      <w:divBdr>
        <w:top w:val="none" w:sz="0" w:space="0" w:color="auto"/>
        <w:left w:val="none" w:sz="0" w:space="0" w:color="auto"/>
        <w:bottom w:val="none" w:sz="0" w:space="0" w:color="auto"/>
        <w:right w:val="none" w:sz="0" w:space="0" w:color="auto"/>
      </w:divBdr>
    </w:div>
    <w:div w:id="2013408773">
      <w:bodyDiv w:val="1"/>
      <w:marLeft w:val="0"/>
      <w:marRight w:val="0"/>
      <w:marTop w:val="0"/>
      <w:marBottom w:val="0"/>
      <w:divBdr>
        <w:top w:val="none" w:sz="0" w:space="0" w:color="auto"/>
        <w:left w:val="none" w:sz="0" w:space="0" w:color="auto"/>
        <w:bottom w:val="none" w:sz="0" w:space="0" w:color="auto"/>
        <w:right w:val="none" w:sz="0" w:space="0" w:color="auto"/>
      </w:divBdr>
    </w:div>
    <w:div w:id="2022197151">
      <w:bodyDiv w:val="1"/>
      <w:marLeft w:val="0"/>
      <w:marRight w:val="0"/>
      <w:marTop w:val="0"/>
      <w:marBottom w:val="0"/>
      <w:divBdr>
        <w:top w:val="none" w:sz="0" w:space="0" w:color="auto"/>
        <w:left w:val="none" w:sz="0" w:space="0" w:color="auto"/>
        <w:bottom w:val="none" w:sz="0" w:space="0" w:color="auto"/>
        <w:right w:val="none" w:sz="0" w:space="0" w:color="auto"/>
      </w:divBdr>
    </w:div>
    <w:div w:id="2074619572">
      <w:bodyDiv w:val="1"/>
      <w:marLeft w:val="0"/>
      <w:marRight w:val="0"/>
      <w:marTop w:val="0"/>
      <w:marBottom w:val="0"/>
      <w:divBdr>
        <w:top w:val="none" w:sz="0" w:space="0" w:color="auto"/>
        <w:left w:val="none" w:sz="0" w:space="0" w:color="auto"/>
        <w:bottom w:val="none" w:sz="0" w:space="0" w:color="auto"/>
        <w:right w:val="none" w:sz="0" w:space="0" w:color="auto"/>
      </w:divBdr>
    </w:div>
    <w:div w:id="2081710030">
      <w:bodyDiv w:val="1"/>
      <w:marLeft w:val="0"/>
      <w:marRight w:val="0"/>
      <w:marTop w:val="0"/>
      <w:marBottom w:val="0"/>
      <w:divBdr>
        <w:top w:val="none" w:sz="0" w:space="0" w:color="auto"/>
        <w:left w:val="none" w:sz="0" w:space="0" w:color="auto"/>
        <w:bottom w:val="none" w:sz="0" w:space="0" w:color="auto"/>
        <w:right w:val="none" w:sz="0" w:space="0" w:color="auto"/>
      </w:divBdr>
    </w:div>
    <w:div w:id="21075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styles" Target="styles.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webSettings" Target="webSettings.xml"/><Relationship Id="rId24" Type="http://schemas.openxmlformats.org/officeDocument/2006/relationships/hyperlink" Target="https://www.aafco.org/news/ca-p-enforcement-update/" TargetMode="External"/><Relationship Id="rId15" Type="http://schemas.openxmlformats.org/officeDocument/2006/relationships/hyperlink" Target="https://www.aafco.org/wp-content/uploads/2026/10/EIC-AAFCO_Enforcement_Discretion_Postion_Related_to_Feline_Ca-P_Changes.pdf" TargetMode="External"/><Relationship Id="rId16" Type="http://schemas.openxmlformats.org/officeDocument/2006/relationships/hyperlink" Target="https://webgate.ec.europa.eu/rasff-window/screen/notification/879787" TargetMode="External"/><Relationship Id="rId21" Type="http://schemas.openxmlformats.org/officeDocument/2006/relationships/hyperlink" Target="https://webgate.ec.europa.eu/rasff-window/screen/notification/879479" TargetMode="External"/><Relationship Id="rId22" Type="http://schemas.openxmlformats.org/officeDocument/2006/relationships/hyperlink" Target="https://xmsyj.moa.gov.cn/jcyj/202610/t20261014_6488573.htm" TargetMode="External"/><Relationship Id="rId23" Type="http://schemas.openxmlformats.org/officeDocument/2006/relationships/hyperlink" Target="https://webgate.ec.europa.eu/rasff-window/screen/notification/879750" TargetMode="External"/><Relationship Id="rId31" Type="http://schemas.openxmlformats.org/officeDocument/2006/relationships/hyperlink" Target="https://webgate.ec.europa.eu/rasff-window/screen/notification/879728" TargetMode="External"/><Relationship Id="rId32" Type="http://schemas.openxmlformats.org/officeDocument/2006/relationships/hyperlink" Target="https://webgate.ec.europa.eu/rasff-window/screen/notification/879682" TargetMode="External"/><Relationship Id="rId33" Type="http://schemas.openxmlformats.org/officeDocument/2006/relationships/hyperlink" Target="https://m.thepaper.cn/newsDetail_forward_34241073" TargetMode="External"/><Relationship Id="rId34" Type="http://schemas.openxmlformats.org/officeDocument/2006/relationships/hyperlink" Target="https://news.iqilu.com/shandong/shandonggedi/20261012/5951278.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Default Theme">
  <a:themeElements>
    <a:clrScheme name="SGS">
      <a:dk1>
        <a:sysClr val="windowText" lastClr="000000"/>
      </a:dk1>
      <a:lt1>
        <a:sysClr val="window" lastClr="FFFFFF"/>
      </a:lt1>
      <a:dk2>
        <a:srgbClr val="000000"/>
      </a:dk2>
      <a:lt2>
        <a:srgbClr val="EEECE1"/>
      </a:lt2>
      <a:accent1>
        <a:srgbClr val="363636"/>
      </a:accent1>
      <a:accent2>
        <a:srgbClr val="848685"/>
      </a:accent2>
      <a:accent3>
        <a:srgbClr val="FF6600"/>
      </a:accent3>
      <a:accent4>
        <a:srgbClr val="BCBCBC"/>
      </a:accent4>
      <a:accent5>
        <a:srgbClr val="FF9900"/>
      </a:accent5>
      <a:accent6>
        <a:srgbClr val="FF0000"/>
      </a:accent6>
      <a:hlink>
        <a:srgbClr val="FF0000"/>
      </a:hlink>
      <a:folHlink>
        <a:srgbClr val="BCBCBC"/>
      </a:folHlink>
    </a:clrScheme>
    <a:fontScheme name="default">
      <a:majorFont>
        <a:latin typeface="黑体"/>
        <a:ea typeface="宋体"/>
        <a:cs typeface="宋体"/>
      </a:majorFont>
      <a:minorFont>
        <a:latin typeface="黑体"/>
        <a:ea typeface="宋体"/>
        <a:cs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宋体" pitchFamily="18"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宋体" pitchFamily="18" charset="0"/>
          </a:defRPr>
        </a:defPPr>
      </a:lstStyle>
    </a:lnDef>
  </a:objectDefaults>
  <a:extraClrSchemeLst>
    <a:extraClrScheme>
      <a:clrScheme name="default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default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default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default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default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default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default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2</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宠物食品与动物饲料行业周报</dc:title>
  <dc:subject>2026年10月9日19:00 不含 至10月16日19:00 含</dc:subject>
  <dc:creator>Neil Yu</dc:creator>
  <cp:keywords/>
  <dc:description/>
  <cp:lastModifiedBy>Neil Yu</cp:lastModifiedBy>
  <cp:revision>11</cp:revision>
  <cp:lastPrinted>2025-02-06T01:14:00Z</cp:lastPrinted>
  <dcterms:created xsi:type="dcterms:W3CDTF">2025-02-06T00:57:00Z</dcterms:created>
  <dcterms:modified xsi:type="dcterms:W3CDTF">2025-02-06T07:40:00Z</dcterms:modified>
</cp:coreProperties>
</file>