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14E5A" w14:textId="5E9DA155" w:rsidR="006C3F59" w:rsidRDefault="006C3F59" w:rsidP="006C3F59">
      <w:pPr>
        <w:shd w:val="clear" w:color="auto" w:fill="FFFFFF"/>
        <w:spacing w:before="0"/>
        <w:jc w:val="center"/>
        <w:outlineLvl w:val="0"/>
        <w:rPr>
          <w:rFonts w:ascii="黑体" w:eastAsia="黑体" w:hAnsi="黑体" w:cs="黑体" w:hint="eastAsia"/>
          <w:b/>
          <w:bCs/>
          <w:color w:val="000000"/>
          <w:kern w:val="36"/>
          <w:sz w:val="24"/>
          <w:lang w:val="en-US" w:eastAsia="zh-CN"/>
        </w:rPr>
      </w:pPr>
      <w:r w:rsidRPr="006C3F59">
        <w:rPr>
          <w:rFonts w:ascii="黑体" w:eastAsia="黑体" w:hAnsi="黑体" w:cs="黑体"/>
          <w:b/>
          <w:bCs/>
          <w:noProof/>
          <w:color w:val="000000"/>
          <w:kern w:val="36"/>
          <w:sz w:val="24"/>
          <w:lang w:eastAsia="zh-CN"/>
        </w:rPr>
        <w:drawing>
          <wp:inline distT="0" distB="0" distL="0" distR="0" wp14:anchorId="60431849" wp14:editId="0907A3A1">
            <wp:extent cx="3695700" cy="2428875"/>
            <wp:effectExtent l="0" t="0" r="0" b="9525"/>
            <wp:docPr id="5" name="Picture 4">
              <a:extLst xmlns:a="http://schemas.openxmlformats.org/drawingml/2006/main">
                <a:ext uri="{FF2B5EF4-FFF2-40B4-BE49-F238E27FC236}">
                  <a16:creationId xmlns:a16="http://schemas.microsoft.com/office/drawing/2014/main" id="{F7F566E8-9032-4A98-922B-EE5BC6E0C3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7F566E8-9032-4A98-922B-EE5BC6E0C340}"/>
                        </a:ext>
                      </a:extLst>
                    </pic:cNvPr>
                    <pic:cNvPicPr>
                      <a:picLocks noChangeAspect="1"/>
                    </pic:cNvPicPr>
                  </pic:nvPicPr>
                  <pic:blipFill>
                    <a:blip r:embed="rId7"/>
                    <a:stretch>
                      <a:fillRect/>
                    </a:stretch>
                  </pic:blipFill>
                  <pic:spPr>
                    <a:xfrm>
                      <a:off x="0" y="0"/>
                      <a:ext cx="3695700" cy="2428875"/>
                    </a:xfrm>
                    <a:prstGeom prst="rect">
                      <a:avLst/>
                    </a:prstGeom>
                    <a:ln>
                      <a:noFill/>
                    </a:ln>
                    <a:effectLst>
                      <a:softEdge rad="112500"/>
                    </a:effectLst>
                  </pic:spPr>
                </pic:pic>
              </a:graphicData>
            </a:graphic>
          </wp:inline>
        </w:drawing>
      </w:r>
    </w:p>
    <w:p>
      <w:pPr>
        <w:keepNext w:val="0"/>
        <w:spacing w:before="0" w:after="80" w:line="276" w:lineRule="auto"/>
        <w:jc w:val="center"/>
      </w:pPr>
      <w:r>
        <w:rPr>
          <w:rFonts w:ascii="黑体" w:hAnsi="黑体" w:eastAsia="黑体" w:cs="黑体"/>
          <w:b/>
          <w:sz w:val="40"/>
        </w:rPr>
        <w:t>宠物食品与动物饲料行业周报</w:t>
      </w:r>
    </w:p>
    <w:p>
      <w:pPr>
        <w:keepNext w:val="0"/>
        <w:spacing w:before="0" w:after="160" w:line="276" w:lineRule="auto"/>
        <w:jc w:val="center"/>
      </w:pPr>
      <w:r>
        <w:rPr>
          <w:rFonts w:ascii="黑体" w:hAnsi="黑体" w:eastAsia="黑体" w:cs="黑体"/>
          <w:b/>
          <w:sz w:val="24"/>
        </w:rPr>
        <w:t>2026年10月23日19:00（不含）至10月30日19:00（含）</w:t>
      </w:r>
    </w:p>
    <w:p>
      <w:pPr>
        <w:keepNext w:val="0"/>
        <w:spacing w:before="0" w:after="160" w:line="276" w:lineRule="auto"/>
      </w:pPr>
      <w:r>
        <w:rPr>
          <w:rFonts w:ascii="宋体" w:hAnsi="宋体" w:eastAsia="宋体" w:cs="宋体"/>
          <w:b w:val="0"/>
          <w:sz w:val="19"/>
        </w:rPr>
        <w:t>本期关注生食宠粮微生物风险、饲料原料卫生、风险评估方法及中国兽药资质变化。建议先匹配供应商、产品和批次，再开展复核；科学意见与企业宣传分别说明。</w:t>
      </w:r>
    </w:p>
    <w:p>
      <w:pPr>
        <w:keepNext/>
        <w:spacing w:before="60" w:after="80" w:line="276" w:lineRule="auto"/>
      </w:pPr>
      <w:r>
        <w:rPr>
          <w:rFonts w:ascii="黑体" w:hAnsi="黑体" w:eastAsia="黑体" w:cs="黑体"/>
          <w:b/>
          <w:sz w:val="30"/>
        </w:rPr>
        <w:t>一、本周重点</w:t>
      </w:r>
    </w:p>
    <w:p>
      <w:pPr>
        <w:keepNext w:val="0"/>
        <w:spacing w:before="0" w:after="40" w:line="276" w:lineRule="auto"/>
      </w:pPr>
      <w:r>
        <w:rPr>
          <w:rFonts w:ascii="宋体" w:hAnsi="宋体" w:eastAsia="宋体" w:cs="宋体"/>
          <w:b w:val="0"/>
          <w:sz w:val="20"/>
        </w:rPr>
        <w:t>FDA提示两批Darwin’s鸡肉猫粮检出沙门氏菌，并指出企业尚未开展充分召回。冷冻不能替代杀菌，售后通知与家庭接触面清洁应同步落实。</w:t>
      </w:r>
    </w:p>
    <w:p>
      <w:pPr>
        <w:keepNext w:val="0"/>
        <w:spacing w:before="0" w:after="40" w:line="276" w:lineRule="auto"/>
      </w:pPr>
      <w:r>
        <w:rPr>
          <w:rFonts w:ascii="宋体" w:hAnsi="宋体" w:eastAsia="宋体" w:cs="宋体"/>
          <w:b w:val="0"/>
          <w:sz w:val="20"/>
        </w:rPr>
        <w:t>RASFF当期原料风险涉及火鸡肉粉和鸭肉粉沙门氏菌、甜菜浆霉变、黑小麦麦角，以及湿犬粮物理危险。通报不代表同类全部产品均受影响。</w:t>
      </w:r>
    </w:p>
    <w:p>
      <w:pPr>
        <w:keepNext w:val="0"/>
        <w:spacing w:before="0" w:after="40" w:line="276" w:lineRule="auto"/>
      </w:pPr>
      <w:r>
        <w:rPr>
          <w:rFonts w:ascii="宋体" w:hAnsi="宋体" w:eastAsia="宋体" w:cs="宋体"/>
          <w:b w:val="0"/>
          <w:sz w:val="20"/>
        </w:rPr>
        <w:t>EFSA公布叠加转基因大豆安全评估和默认值及不确定性因子指南。科学评估不等于进口授权，可靠实测数据仍应优先于默认值。</w:t>
      </w:r>
    </w:p>
    <w:p>
      <w:pPr>
        <w:keepNext w:val="0"/>
        <w:spacing w:before="0" w:after="40" w:line="276" w:lineRule="auto"/>
      </w:pPr>
      <w:r>
        <w:rPr>
          <w:rFonts w:ascii="宋体" w:hAnsi="宋体" w:eastAsia="宋体" w:cs="宋体"/>
          <w:b w:val="0"/>
          <w:sz w:val="20"/>
        </w:rPr>
        <w:t>中国注销25家企业175个兽药产品批准文号，涉及预混剂等剂型。应核对准确文号和库存用途，不能将行政注销直接推断为药品质量不合格。</w:t>
      </w:r>
    </w:p>
    <w:p>
      <w:r>
        <w:br w:type="page"/>
      </w:r>
    </w:p>
    <w:p>
      <w:pPr>
        <w:keepNext/>
        <w:spacing w:before="60" w:after="80" w:line="276" w:lineRule="auto"/>
      </w:pPr>
      <w:r>
        <w:rPr>
          <w:rFonts w:ascii="黑体" w:hAnsi="黑体" w:eastAsia="黑体" w:cs="黑体"/>
          <w:b/>
          <w:sz w:val="30"/>
        </w:rPr>
        <w:t>二、本周风险与行动快表</w:t>
      </w:r>
    </w:p>
    <w:tbl>
      <w:tblPr>
        <w:tblStyle w:val="afb"/>
        <w:tblW w:type="dxa" w:w="9677"/>
        <w:jc w:val="center"/>
        <w:tblLayout w:type="fixed"/>
        <w:tblLook w:firstColumn="1" w:firstRow="1" w:lastColumn="0" w:lastRow="0" w:noHBand="0" w:noVBand="1" w:val="04A0"/>
      </w:tblPr>
      <w:tblGrid>
        <w:gridCol w:w="835"/>
        <w:gridCol w:w="1613"/>
        <w:gridCol w:w="1296"/>
        <w:gridCol w:w="2462"/>
        <w:gridCol w:w="792"/>
        <w:gridCol w:w="2678"/>
      </w:tblGrid>
      <w:tr>
        <w:trPr>
          <w:tblHeader w:val="true"/>
          <w:cantSplit/>
        </w:trPr>
        <w:tc>
          <w:tcPr>
            <w:tcW w:type="dxa" w:w="835"/>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日期</w:t>
            </w:r>
          </w:p>
        </w:tc>
        <w:tc>
          <w:tcPr>
            <w:tcW w:type="dxa" w:w="1613"/>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来源/编号</w:t>
            </w:r>
          </w:p>
        </w:tc>
        <w:tc>
          <w:tcPr>
            <w:tcW w:type="dxa" w:w="1296"/>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产品/对象</w:t>
            </w:r>
          </w:p>
        </w:tc>
        <w:tc>
          <w:tcPr>
            <w:tcW w:type="dxa" w:w="246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事项</w:t>
            </w:r>
          </w:p>
        </w:tc>
        <w:tc>
          <w:tcPr>
            <w:tcW w:type="dxa" w:w="79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优先级</w:t>
            </w:r>
          </w:p>
        </w:tc>
        <w:tc>
          <w:tcPr>
            <w:tcW w:type="dxa" w:w="2678"/>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本周建议动作</w:t>
            </w:r>
          </w:p>
        </w:tc>
      </w:tr>
      <w:tr>
        <w:trPr>
          <w:cantSplit/>
        </w:trPr>
        <w:tc>
          <w:tcPr>
            <w:tcW w:type="dxa" w:w="835"/>
            <w:vAlign w:val="center"/>
            <w:tcMar>
              <w:top w:w="75" w:type="dxa"/>
              <w:start w:w="75" w:type="dxa"/>
              <w:bottom w:w="75" w:type="dxa"/>
              <w:end w:w="75" w:type="dxa"/>
            </w:tcMar>
          </w:tcPr>
          <w:p>
            <w:pPr>
              <w:spacing w:after="0" w:line="247" w:lineRule="auto"/>
              <w:jc w:val="center"/>
            </w:pPr>
            <w:r>
              <w:t>10-26</w:t>
            </w:r>
          </w:p>
        </w:tc>
        <w:tc>
          <w:tcPr>
            <w:tcW w:type="dxa" w:w="1613"/>
            <w:vAlign w:val="center"/>
            <w:tcMar>
              <w:top w:w="75" w:type="dxa"/>
              <w:start w:w="75" w:type="dxa"/>
              <w:bottom w:w="75" w:type="dxa"/>
              <w:end w:w="75" w:type="dxa"/>
            </w:tcMar>
          </w:tcPr>
          <w:p>
            <w:pPr>
              <w:spacing w:after="0" w:line="247" w:lineRule="auto"/>
            </w:pPr>
            <w:r>
              <w:t>FDA警示</w:t>
            </w:r>
          </w:p>
        </w:tc>
        <w:tc>
          <w:tcPr>
            <w:tcW w:type="dxa" w:w="1296"/>
            <w:vAlign w:val="center"/>
            <w:tcMar>
              <w:top w:w="75" w:type="dxa"/>
              <w:start w:w="75" w:type="dxa"/>
              <w:bottom w:w="75" w:type="dxa"/>
              <w:end w:w="75" w:type="dxa"/>
            </w:tcMar>
          </w:tcPr>
          <w:p>
            <w:pPr>
              <w:spacing w:after="0" w:line="247" w:lineRule="auto"/>
            </w:pPr>
            <w:r>
              <w:t>Darwin’s鸡肉猫粮</w:t>
            </w:r>
          </w:p>
        </w:tc>
        <w:tc>
          <w:tcPr>
            <w:tcW w:type="dxa" w:w="2462"/>
            <w:vAlign w:val="center"/>
            <w:tcMar>
              <w:top w:w="75" w:type="dxa"/>
              <w:start w:w="75" w:type="dxa"/>
              <w:bottom w:w="75" w:type="dxa"/>
              <w:end w:w="75" w:type="dxa"/>
            </w:tcMar>
          </w:tcPr>
          <w:p>
            <w:pPr>
              <w:spacing w:after="0" w:line="247" w:lineRule="auto"/>
            </w:pPr>
            <w:r>
              <w:t>两批检出沙门氏菌；尚未充分召回。</w:t>
            </w:r>
          </w:p>
        </w:tc>
        <w:tc>
          <w:tcPr>
            <w:tcW w:type="dxa" w:w="792"/>
            <w:vAlign w:val="center"/>
            <w:tcMar>
              <w:top w:w="75" w:type="dxa"/>
              <w:start w:w="75" w:type="dxa"/>
              <w:bottom w:w="75" w:type="dxa"/>
              <w:end w:w="75" w:type="dxa"/>
            </w:tcMar>
          </w:tcPr>
          <w:p>
            <w:pPr>
              <w:spacing w:after="0" w:line="247" w:lineRule="auto"/>
              <w:jc w:val="center"/>
            </w:pPr>
            <w:r>
              <w:t>高</w:t>
            </w:r>
          </w:p>
        </w:tc>
        <w:tc>
          <w:tcPr>
            <w:tcW w:type="dxa" w:w="2678"/>
            <w:vAlign w:val="center"/>
            <w:tcMar>
              <w:top w:w="75" w:type="dxa"/>
              <w:start w:w="75" w:type="dxa"/>
              <w:bottom w:w="75" w:type="dxa"/>
              <w:end w:w="75" w:type="dxa"/>
            </w:tcMar>
          </w:tcPr>
          <w:p>
            <w:pPr>
              <w:spacing w:after="0" w:line="247" w:lineRule="auto"/>
            </w:pPr>
            <w:r>
              <w:t>按批号停售、停止饲喂并追溯，核实环境清洁。</w:t>
            </w:r>
          </w:p>
        </w:tc>
      </w:tr>
      <w:tr>
        <w:trPr>
          <w:cantSplit/>
        </w:trPr>
        <w:tc>
          <w:tcPr>
            <w:tcW w:type="dxa" w:w="835"/>
            <w:vAlign w:val="center"/>
            <w:tcMar>
              <w:top w:w="75" w:type="dxa"/>
              <w:start w:w="75" w:type="dxa"/>
              <w:bottom w:w="75" w:type="dxa"/>
              <w:end w:w="75" w:type="dxa"/>
            </w:tcMar>
          </w:tcPr>
          <w:p>
            <w:pPr>
              <w:spacing w:after="0" w:line="247" w:lineRule="auto"/>
              <w:jc w:val="center"/>
            </w:pPr>
            <w:r>
              <w:t>10-26/28</w:t>
            </w:r>
          </w:p>
        </w:tc>
        <w:tc>
          <w:tcPr>
            <w:tcW w:type="dxa" w:w="1613"/>
            <w:vAlign w:val="center"/>
            <w:tcMar>
              <w:top w:w="75" w:type="dxa"/>
              <w:start w:w="75" w:type="dxa"/>
              <w:bottom w:w="75" w:type="dxa"/>
              <w:end w:w="75" w:type="dxa"/>
            </w:tcMar>
          </w:tcPr>
          <w:p>
            <w:pPr>
              <w:spacing w:after="0" w:line="247" w:lineRule="auto"/>
            </w:pPr>
            <w:r>
              <w:t>RASFF</w:t>
            </w:r>
            <w:r>
              <w:br/>
              <w:t>9501/9581</w:t>
            </w:r>
          </w:p>
        </w:tc>
        <w:tc>
          <w:tcPr>
            <w:tcW w:type="dxa" w:w="1296"/>
            <w:vAlign w:val="center"/>
            <w:tcMar>
              <w:top w:w="75" w:type="dxa"/>
              <w:start w:w="75" w:type="dxa"/>
              <w:bottom w:w="75" w:type="dxa"/>
              <w:end w:w="75" w:type="dxa"/>
            </w:tcMar>
          </w:tcPr>
          <w:p>
            <w:pPr>
              <w:spacing w:after="0" w:line="247" w:lineRule="auto"/>
            </w:pPr>
            <w:r>
              <w:t>火鸡肉粉／鸭肉粉</w:t>
            </w:r>
          </w:p>
        </w:tc>
        <w:tc>
          <w:tcPr>
            <w:tcW w:type="dxa" w:w="2462"/>
            <w:vAlign w:val="center"/>
            <w:tcMar>
              <w:top w:w="75" w:type="dxa"/>
              <w:start w:w="75" w:type="dxa"/>
              <w:bottom w:w="75" w:type="dxa"/>
              <w:end w:w="75" w:type="dxa"/>
            </w:tcMar>
          </w:tcPr>
          <w:p>
            <w:pPr>
              <w:spacing w:after="0" w:line="247" w:lineRule="auto"/>
            </w:pPr>
            <w:r>
              <w:t>沙门氏菌；企业自检跟进／边境拒绝。</w:t>
            </w:r>
          </w:p>
        </w:tc>
        <w:tc>
          <w:tcPr>
            <w:tcW w:type="dxa" w:w="792"/>
            <w:vAlign w:val="center"/>
            <w:tcMar>
              <w:top w:w="75" w:type="dxa"/>
              <w:start w:w="75" w:type="dxa"/>
              <w:bottom w:w="75" w:type="dxa"/>
              <w:end w:w="75" w:type="dxa"/>
            </w:tcMar>
          </w:tcPr>
          <w:p>
            <w:pPr>
              <w:spacing w:after="0" w:line="247" w:lineRule="auto"/>
              <w:jc w:val="center"/>
            </w:pPr>
            <w:r>
              <w:t>中高</w:t>
            </w:r>
          </w:p>
        </w:tc>
        <w:tc>
          <w:tcPr>
            <w:tcW w:type="dxa" w:w="2678"/>
            <w:vAlign w:val="center"/>
            <w:tcMar>
              <w:top w:w="75" w:type="dxa"/>
              <w:start w:w="75" w:type="dxa"/>
              <w:bottom w:w="75" w:type="dxa"/>
              <w:end w:w="75" w:type="dxa"/>
            </w:tcMar>
          </w:tcPr>
          <w:p>
            <w:pPr>
              <w:spacing w:after="0" w:line="247" w:lineRule="auto"/>
            </w:pPr>
            <w:r>
              <w:t>核原料来源、批次、杀菌与再污染控制。</w:t>
            </w:r>
          </w:p>
        </w:tc>
      </w:tr>
      <w:tr>
        <w:trPr>
          <w:cantSplit/>
        </w:trPr>
        <w:tc>
          <w:tcPr>
            <w:tcW w:type="dxa" w:w="835"/>
            <w:vAlign w:val="center"/>
            <w:tcMar>
              <w:top w:w="75" w:type="dxa"/>
              <w:start w:w="75" w:type="dxa"/>
              <w:bottom w:w="75" w:type="dxa"/>
              <w:end w:w="75" w:type="dxa"/>
            </w:tcMar>
          </w:tcPr>
          <w:p>
            <w:pPr>
              <w:spacing w:after="0" w:line="247" w:lineRule="auto"/>
              <w:jc w:val="center"/>
            </w:pPr>
            <w:r>
              <w:t>10-27/28</w:t>
            </w:r>
          </w:p>
        </w:tc>
        <w:tc>
          <w:tcPr>
            <w:tcW w:type="dxa" w:w="1613"/>
            <w:vAlign w:val="center"/>
            <w:tcMar>
              <w:top w:w="75" w:type="dxa"/>
              <w:start w:w="75" w:type="dxa"/>
              <w:bottom w:w="75" w:type="dxa"/>
              <w:end w:w="75" w:type="dxa"/>
            </w:tcMar>
          </w:tcPr>
          <w:p>
            <w:pPr>
              <w:spacing w:after="0" w:line="247" w:lineRule="auto"/>
            </w:pPr>
            <w:r>
              <w:t>RASFF</w:t>
            </w:r>
            <w:r>
              <w:br/>
              <w:t>9534/9588</w:t>
            </w:r>
          </w:p>
        </w:tc>
        <w:tc>
          <w:tcPr>
            <w:tcW w:type="dxa" w:w="1296"/>
            <w:vAlign w:val="center"/>
            <w:tcMar>
              <w:top w:w="75" w:type="dxa"/>
              <w:start w:w="75" w:type="dxa"/>
              <w:bottom w:w="75" w:type="dxa"/>
              <w:end w:w="75" w:type="dxa"/>
            </w:tcMar>
          </w:tcPr>
          <w:p>
            <w:pPr>
              <w:spacing w:after="0" w:line="247" w:lineRule="auto"/>
            </w:pPr>
            <w:r>
              <w:t>俄罗斯甜菜浆颗粒</w:t>
            </w:r>
          </w:p>
        </w:tc>
        <w:tc>
          <w:tcPr>
            <w:tcW w:type="dxa" w:w="2462"/>
            <w:vAlign w:val="center"/>
            <w:tcMar>
              <w:top w:w="75" w:type="dxa"/>
              <w:start w:w="75" w:type="dxa"/>
              <w:bottom w:w="75" w:type="dxa"/>
              <w:end w:w="75" w:type="dxa"/>
            </w:tcMar>
          </w:tcPr>
          <w:p>
            <w:pPr>
              <w:spacing w:after="0" w:line="247" w:lineRule="auto"/>
            </w:pPr>
            <w:r>
              <w:t>霉变；边境拒绝，未上市。</w:t>
            </w:r>
          </w:p>
        </w:tc>
        <w:tc>
          <w:tcPr>
            <w:tcW w:type="dxa" w:w="792"/>
            <w:vAlign w:val="center"/>
            <w:tcMar>
              <w:top w:w="75" w:type="dxa"/>
              <w:start w:w="75" w:type="dxa"/>
              <w:bottom w:w="75" w:type="dxa"/>
              <w:end w:w="75" w:type="dxa"/>
            </w:tcMar>
          </w:tcPr>
          <w:p>
            <w:pPr>
              <w:spacing w:after="0" w:line="247" w:lineRule="auto"/>
              <w:jc w:val="center"/>
            </w:pPr>
            <w:r>
              <w:t>中</w:t>
            </w:r>
          </w:p>
        </w:tc>
        <w:tc>
          <w:tcPr>
            <w:tcW w:type="dxa" w:w="2678"/>
            <w:vAlign w:val="center"/>
            <w:tcMar>
              <w:top w:w="75" w:type="dxa"/>
              <w:start w:w="75" w:type="dxa"/>
              <w:bottom w:w="75" w:type="dxa"/>
              <w:end w:w="75" w:type="dxa"/>
            </w:tcMar>
          </w:tcPr>
          <w:p>
            <w:pPr>
              <w:spacing w:after="0" w:line="247" w:lineRule="auto"/>
            </w:pPr>
            <w:r>
              <w:t>复核水分、水活度、仓储和感官异常。</w:t>
            </w:r>
          </w:p>
        </w:tc>
      </w:tr>
      <w:tr>
        <w:trPr>
          <w:cantSplit/>
        </w:trPr>
        <w:tc>
          <w:tcPr>
            <w:tcW w:type="dxa" w:w="835"/>
            <w:vAlign w:val="center"/>
            <w:tcMar>
              <w:top w:w="75" w:type="dxa"/>
              <w:start w:w="75" w:type="dxa"/>
              <w:bottom w:w="75" w:type="dxa"/>
              <w:end w:w="75" w:type="dxa"/>
            </w:tcMar>
          </w:tcPr>
          <w:p>
            <w:pPr>
              <w:spacing w:after="0" w:line="247" w:lineRule="auto"/>
              <w:jc w:val="center"/>
            </w:pPr>
            <w:r>
              <w:t>10-27</w:t>
            </w:r>
          </w:p>
        </w:tc>
        <w:tc>
          <w:tcPr>
            <w:tcW w:type="dxa" w:w="1613"/>
            <w:vAlign w:val="center"/>
            <w:tcMar>
              <w:top w:w="75" w:type="dxa"/>
              <w:start w:w="75" w:type="dxa"/>
              <w:bottom w:w="75" w:type="dxa"/>
              <w:end w:w="75" w:type="dxa"/>
            </w:tcMar>
          </w:tcPr>
          <w:p>
            <w:pPr>
              <w:spacing w:after="0" w:line="247" w:lineRule="auto"/>
            </w:pPr>
            <w:r>
              <w:t>RASFF</w:t>
            </w:r>
            <w:r>
              <w:br/>
              <w:t>2026.9556</w:t>
            </w:r>
          </w:p>
        </w:tc>
        <w:tc>
          <w:tcPr>
            <w:tcW w:type="dxa" w:w="1296"/>
            <w:vAlign w:val="center"/>
            <w:tcMar>
              <w:top w:w="75" w:type="dxa"/>
              <w:start w:w="75" w:type="dxa"/>
              <w:bottom w:w="75" w:type="dxa"/>
              <w:end w:w="75" w:type="dxa"/>
            </w:tcMar>
          </w:tcPr>
          <w:p>
            <w:pPr>
              <w:spacing w:after="0" w:line="247" w:lineRule="auto"/>
            </w:pPr>
            <w:r>
              <w:t>德国黑小麦</w:t>
            </w:r>
          </w:p>
        </w:tc>
        <w:tc>
          <w:tcPr>
            <w:tcW w:type="dxa" w:w="2462"/>
            <w:vAlign w:val="center"/>
            <w:tcMar>
              <w:top w:w="75" w:type="dxa"/>
              <w:start w:w="75" w:type="dxa"/>
              <w:bottom w:w="75" w:type="dxa"/>
              <w:end w:w="75" w:type="dxa"/>
            </w:tcMar>
          </w:tcPr>
          <w:p>
            <w:pPr>
              <w:spacing w:after="0" w:line="247" w:lineRule="auto"/>
            </w:pPr>
            <w:r>
              <w:t>麦角；企业自检警报，潜在严重。</w:t>
            </w:r>
          </w:p>
        </w:tc>
        <w:tc>
          <w:tcPr>
            <w:tcW w:type="dxa" w:w="792"/>
            <w:vAlign w:val="center"/>
            <w:tcMar>
              <w:top w:w="75" w:type="dxa"/>
              <w:start w:w="75" w:type="dxa"/>
              <w:bottom w:w="75" w:type="dxa"/>
              <w:end w:w="75" w:type="dxa"/>
            </w:tcMar>
          </w:tcPr>
          <w:p>
            <w:pPr>
              <w:spacing w:after="0" w:line="247" w:lineRule="auto"/>
              <w:jc w:val="center"/>
            </w:pPr>
            <w:r>
              <w:t>高</w:t>
            </w:r>
          </w:p>
        </w:tc>
        <w:tc>
          <w:tcPr>
            <w:tcW w:type="dxa" w:w="2678"/>
            <w:vAlign w:val="center"/>
            <w:tcMar>
              <w:top w:w="75" w:type="dxa"/>
              <w:start w:w="75" w:type="dxa"/>
              <w:bottom w:w="75" w:type="dxa"/>
              <w:end w:w="75" w:type="dxa"/>
            </w:tcMar>
          </w:tcPr>
          <w:p>
            <w:pPr>
              <w:spacing w:after="0" w:line="247" w:lineRule="auto"/>
            </w:pPr>
            <w:r>
              <w:t>核杂质与麦角风险；明确取样和分析目标。</w:t>
            </w:r>
          </w:p>
        </w:tc>
      </w:tr>
      <w:tr>
        <w:trPr>
          <w:cantSplit/>
        </w:trPr>
        <w:tc>
          <w:tcPr>
            <w:tcW w:type="dxa" w:w="835"/>
            <w:vAlign w:val="center"/>
            <w:tcMar>
              <w:top w:w="75" w:type="dxa"/>
              <w:start w:w="75" w:type="dxa"/>
              <w:bottom w:w="75" w:type="dxa"/>
              <w:end w:w="75" w:type="dxa"/>
            </w:tcMar>
          </w:tcPr>
          <w:p>
            <w:pPr>
              <w:spacing w:after="0" w:line="247" w:lineRule="auto"/>
              <w:jc w:val="center"/>
            </w:pPr>
            <w:r>
              <w:t>10-27</w:t>
            </w:r>
          </w:p>
        </w:tc>
        <w:tc>
          <w:tcPr>
            <w:tcW w:type="dxa" w:w="1613"/>
            <w:vAlign w:val="center"/>
            <w:tcMar>
              <w:top w:w="75" w:type="dxa"/>
              <w:start w:w="75" w:type="dxa"/>
              <w:bottom w:w="75" w:type="dxa"/>
              <w:end w:w="75" w:type="dxa"/>
            </w:tcMar>
          </w:tcPr>
          <w:p>
            <w:pPr>
              <w:spacing w:after="0" w:line="247" w:lineRule="auto"/>
            </w:pPr>
            <w:r>
              <w:t>RASFF</w:t>
            </w:r>
            <w:r>
              <w:br/>
              <w:t>2026.9569</w:t>
            </w:r>
          </w:p>
        </w:tc>
        <w:tc>
          <w:tcPr>
            <w:tcW w:type="dxa" w:w="1296"/>
            <w:vAlign w:val="center"/>
            <w:tcMar>
              <w:top w:w="75" w:type="dxa"/>
              <w:start w:w="75" w:type="dxa"/>
              <w:bottom w:w="75" w:type="dxa"/>
              <w:end w:w="75" w:type="dxa"/>
            </w:tcMar>
          </w:tcPr>
          <w:p>
            <w:pPr>
              <w:spacing w:after="0" w:line="247" w:lineRule="auto"/>
            </w:pPr>
            <w:r>
              <w:t>捷克湿犬粮</w:t>
            </w:r>
          </w:p>
        </w:tc>
        <w:tc>
          <w:tcPr>
            <w:tcW w:type="dxa" w:w="2462"/>
            <w:vAlign w:val="center"/>
            <w:tcMar>
              <w:top w:w="75" w:type="dxa"/>
              <w:start w:w="75" w:type="dxa"/>
              <w:bottom w:w="75" w:type="dxa"/>
              <w:end w:w="75" w:type="dxa"/>
            </w:tcMar>
          </w:tcPr>
          <w:p>
            <w:pPr>
              <w:spacing w:after="0" w:line="247" w:lineRule="auto"/>
            </w:pPr>
            <w:r>
              <w:t>物理危险；投诉线索，官方扣留。</w:t>
            </w:r>
          </w:p>
        </w:tc>
        <w:tc>
          <w:tcPr>
            <w:tcW w:type="dxa" w:w="792"/>
            <w:vAlign w:val="center"/>
            <w:tcMar>
              <w:top w:w="75" w:type="dxa"/>
              <w:start w:w="75" w:type="dxa"/>
              <w:bottom w:w="75" w:type="dxa"/>
              <w:end w:w="75" w:type="dxa"/>
            </w:tcMar>
          </w:tcPr>
          <w:p>
            <w:pPr>
              <w:spacing w:after="0" w:line="247" w:lineRule="auto"/>
              <w:jc w:val="center"/>
            </w:pPr>
            <w:r>
              <w:t>中高</w:t>
            </w:r>
          </w:p>
        </w:tc>
        <w:tc>
          <w:tcPr>
            <w:tcW w:type="dxa" w:w="2678"/>
            <w:vAlign w:val="center"/>
            <w:tcMar>
              <w:top w:w="75" w:type="dxa"/>
              <w:start w:w="75" w:type="dxa"/>
              <w:bottom w:w="75" w:type="dxa"/>
              <w:end w:w="75" w:type="dxa"/>
            </w:tcMar>
          </w:tcPr>
          <w:p>
            <w:pPr>
              <w:spacing w:after="0" w:line="247" w:lineRule="auto"/>
            </w:pPr>
            <w:r>
              <w:t>核异物控制及封装记录，不猜测异物材质。</w:t>
            </w:r>
          </w:p>
        </w:tc>
      </w:tr>
    </w:tbl>
    <w:p>
      <w:pPr>
        <w:keepNext w:val="0"/>
        <w:spacing w:before="140" w:after="60" w:line="276" w:lineRule="auto"/>
      </w:pPr>
      <w:r>
        <w:rPr>
          <w:rFonts w:ascii="宋体" w:hAnsi="宋体" w:eastAsia="宋体" w:cs="宋体"/>
          <w:b w:val="0"/>
          <w:sz w:val="18"/>
        </w:rPr>
        <w:t>注：表中9501等为2026年RASFF编号尾号。风险等级为本刊行动优先级；官方风险判断及流向以各通报为准。公开后续信息按10月30日核验时点说明。</w:t>
      </w:r>
    </w:p>
    <w:p>
      <w:r>
        <w:br w:type="page"/>
      </w:r>
    </w:p>
    <w:p>
      <w:pPr>
        <w:keepNext/>
        <w:spacing w:before="60" w:after="80" w:line="276" w:lineRule="auto"/>
      </w:pPr>
      <w:r>
        <w:rPr>
          <w:rFonts w:ascii="黑体" w:hAnsi="黑体" w:eastAsia="黑体" w:cs="黑体"/>
          <w:b/>
          <w:sz w:val="30"/>
        </w:rPr>
        <w:t>三、重点资讯与管理建议</w:t>
      </w:r>
    </w:p>
    <w:p>
      <w:pPr>
        <w:keepNext/>
        <w:spacing w:before="40" w:after="60" w:line="276" w:lineRule="auto"/>
      </w:pPr>
      <w:r>
        <w:rPr>
          <w:rFonts w:ascii="黑体" w:hAnsi="黑体" w:eastAsia="黑体" w:cs="黑体"/>
          <w:b/>
          <w:sz w:val="22"/>
        </w:rPr>
        <w:t>1. 生食猫粮沙门氏菌警示需要覆盖冷冻库存</w:t>
      </w:r>
    </w:p>
    <w:p>
      <w:pPr>
        <w:spacing w:after="60" w:line="276" w:lineRule="auto"/>
      </w:pPr>
      <w:r>
        <w:rPr>
          <w:rFonts w:ascii="黑体" w:hAnsi="黑体" w:eastAsia="黑体" w:cs="黑体"/>
          <w:b/>
          <w:sz w:val="20"/>
        </w:rPr>
        <w:t>日期依据：</w:t>
      </w:r>
      <w:r>
        <w:rPr>
          <w:rFonts w:ascii="宋体" w:hAnsi="宋体" w:eastAsia="宋体" w:cs="宋体"/>
          <w:b w:val="0"/>
          <w:sz w:val="20"/>
        </w:rPr>
        <w:t>FDA 2026年10月26日警示。</w:t>
      </w:r>
    </w:p>
    <w:p>
      <w:pPr>
        <w:spacing w:after="60" w:line="276" w:lineRule="auto"/>
      </w:pPr>
      <w:r>
        <w:rPr>
          <w:rFonts w:ascii="黑体" w:hAnsi="黑体" w:eastAsia="黑体" w:cs="黑体"/>
          <w:b/>
          <w:sz w:val="20"/>
        </w:rPr>
        <w:t>发生了什么：</w:t>
      </w:r>
      <w:r>
        <w:rPr>
          <w:rFonts w:ascii="宋体" w:hAnsi="宋体" w:eastAsia="宋体" w:cs="宋体"/>
          <w:b w:val="0"/>
          <w:sz w:val="20"/>
        </w:rPr>
        <w:t>Darwin’s Natural Selections Chicken Recipe for Cats两批产品检出沙门氏菌：批号12731（2026-07-08生产）和12493（2026-04-02生产）。产品为冷冻2磅装，分为四个单元，无标注到期日；FDA指出企业尚未开展充分召回。</w:t>
      </w:r>
    </w:p>
    <w:p>
      <w:pPr>
        <w:spacing w:after="60" w:line="276" w:lineRule="auto"/>
      </w:pPr>
      <w:r>
        <w:rPr>
          <w:rFonts w:ascii="黑体" w:hAnsi="黑体" w:eastAsia="黑体" w:cs="黑体"/>
          <w:b/>
          <w:sz w:val="20"/>
        </w:rPr>
        <w:t>管理判断：</w:t>
      </w:r>
      <w:r>
        <w:rPr>
          <w:rFonts w:ascii="宋体" w:hAnsi="宋体" w:eastAsia="宋体" w:cs="宋体"/>
          <w:b w:val="0"/>
          <w:sz w:val="20"/>
        </w:rPr>
        <w:t>这是官方停止饲喂警示，不能写成企业已完成召回。旧生产批次仍可能留在冷冻库存；冷藏、冷冻均不能杀灭沙门氏菌。</w:t>
      </w:r>
    </w:p>
    <w:p>
      <w:pPr>
        <w:spacing w:after="60" w:line="276" w:lineRule="auto"/>
      </w:pPr>
      <w:r>
        <w:rPr>
          <w:rFonts w:ascii="黑体" w:hAnsi="黑体" w:eastAsia="黑体" w:cs="黑体"/>
          <w:b/>
          <w:sz w:val="20"/>
        </w:rPr>
        <w:t>本周建议：</w:t>
      </w:r>
      <w:r>
        <w:rPr>
          <w:rFonts w:ascii="宋体" w:hAnsi="宋体" w:eastAsia="宋体" w:cs="宋体"/>
          <w:b w:val="0"/>
          <w:sz w:val="20"/>
        </w:rPr>
        <w:t>逐一匹配批号，停止销售和饲喂并追溯收货人；核对杀菌验证、环境监测与清洁消毒。按官方提示处理家庭库存及接触面。</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S1 FDA</w:t>
      </w:r>
    </w:p>
    <w:p>
      <w:pPr>
        <w:keepNext/>
        <w:spacing w:before="40" w:after="60" w:line="276" w:lineRule="auto"/>
      </w:pPr>
      <w:r>
        <w:rPr>
          <w:rFonts w:ascii="黑体" w:hAnsi="黑体" w:eastAsia="黑体" w:cs="黑体"/>
          <w:b/>
          <w:sz w:val="22"/>
        </w:rPr>
        <w:t>2. 原料微生物与异物风险应按批次分开处置</w:t>
      </w:r>
    </w:p>
    <w:p>
      <w:pPr>
        <w:spacing w:after="60" w:line="276" w:lineRule="auto"/>
      </w:pPr>
      <w:r>
        <w:rPr>
          <w:rFonts w:ascii="黑体" w:hAnsi="黑体" w:eastAsia="黑体" w:cs="黑体"/>
          <w:b/>
          <w:sz w:val="20"/>
        </w:rPr>
        <w:t>日期依据：</w:t>
      </w:r>
      <w:r>
        <w:rPr>
          <w:rFonts w:ascii="宋体" w:hAnsi="宋体" w:eastAsia="宋体" w:cs="宋体"/>
          <w:b w:val="0"/>
          <w:sz w:val="20"/>
        </w:rPr>
        <w:t>RASFF 2026年10月26—28日验证通报。</w:t>
      </w:r>
    </w:p>
    <w:p>
      <w:pPr>
        <w:spacing w:after="60" w:line="276" w:lineRule="auto"/>
      </w:pPr>
      <w:r>
        <w:rPr>
          <w:rFonts w:ascii="黑体" w:hAnsi="黑体" w:eastAsia="黑体" w:cs="黑体"/>
          <w:b/>
          <w:sz w:val="20"/>
        </w:rPr>
        <w:t>发生了什么：</w:t>
      </w:r>
      <w:r>
        <w:rPr>
          <w:rFonts w:ascii="宋体" w:hAnsi="宋体" w:eastAsia="宋体" w:cs="宋体"/>
          <w:b w:val="0"/>
          <w:sz w:val="20"/>
        </w:rPr>
        <w:t>六条当期通报涵盖肉粉沙门氏菌、甜菜浆霉变、黑小麦麦角和湿犬粮物理危险。9501标题称来自斯洛文尼亚，原产字段列匈牙利；两种角色应分别核对。9569分销信息尚不可用。</w:t>
      </w:r>
    </w:p>
    <w:p>
      <w:pPr>
        <w:spacing w:after="60" w:line="276" w:lineRule="auto"/>
      </w:pPr>
      <w:r>
        <w:rPr>
          <w:rFonts w:ascii="黑体" w:hAnsi="黑体" w:eastAsia="黑体" w:cs="黑体"/>
          <w:b/>
          <w:sz w:val="20"/>
        </w:rPr>
        <w:t>管理判断：</w:t>
      </w:r>
      <w:r>
        <w:rPr>
          <w:rFonts w:ascii="宋体" w:hAnsi="宋体" w:eastAsia="宋体" w:cs="宋体"/>
          <w:b w:val="0"/>
          <w:sz w:val="20"/>
        </w:rPr>
        <w:t>边境拒绝的两条甜菜浆记录不能推断已进入市场；霉变也不等于已测得某种霉菌毒素超标。湿粮条目未明确异物材质，不补写金属、玻璃或塑料。</w:t>
      </w:r>
    </w:p>
    <w:p>
      <w:pPr>
        <w:spacing w:after="60" w:line="276" w:lineRule="auto"/>
      </w:pPr>
      <w:r>
        <w:rPr>
          <w:rFonts w:ascii="黑体" w:hAnsi="黑体" w:eastAsia="黑体" w:cs="黑体"/>
          <w:b/>
          <w:sz w:val="20"/>
        </w:rPr>
        <w:t>本周建议：</w:t>
      </w:r>
      <w:r>
        <w:rPr>
          <w:rFonts w:ascii="宋体" w:hAnsi="宋体" w:eastAsia="宋体" w:cs="宋体"/>
          <w:b w:val="0"/>
          <w:sz w:val="20"/>
        </w:rPr>
        <w:t>先对照供应商与批次，必要时隔离关联原料；分别设计病原菌、霉变及麦角核查。湿粮复核异物拦截、投诉样品和留样，保留追溯记录。</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S2—S7 RASFF具体通报</w:t>
      </w:r>
    </w:p>
    <w:p>
      <w:r>
        <w:br w:type="page"/>
      </w:r>
    </w:p>
    <w:p>
      <w:pPr>
        <w:keepNext/>
        <w:spacing w:before="60" w:after="80" w:line="276" w:lineRule="auto"/>
      </w:pPr>
      <w:r>
        <w:rPr>
          <w:rFonts w:ascii="黑体" w:hAnsi="黑体" w:eastAsia="黑体" w:cs="黑体"/>
          <w:b/>
          <w:sz w:val="30"/>
        </w:rPr>
        <w:t>四、原料风险与中国市场</w:t>
      </w:r>
    </w:p>
    <w:p>
      <w:pPr>
        <w:keepNext/>
        <w:spacing w:before="40" w:after="60" w:line="276" w:lineRule="auto"/>
      </w:pPr>
      <w:r>
        <w:rPr>
          <w:rFonts w:ascii="黑体" w:hAnsi="黑体" w:eastAsia="黑体" w:cs="黑体"/>
          <w:b/>
          <w:sz w:val="22"/>
        </w:rPr>
        <w:t>3. EFSA大豆评估与默认值指南支持证据管理</w:t>
      </w:r>
    </w:p>
    <w:p>
      <w:pPr>
        <w:spacing w:after="60" w:line="276" w:lineRule="auto"/>
      </w:pPr>
      <w:r>
        <w:rPr>
          <w:rFonts w:ascii="黑体" w:hAnsi="黑体" w:eastAsia="黑体" w:cs="黑体"/>
          <w:b/>
          <w:sz w:val="20"/>
        </w:rPr>
        <w:t>日期依据：</w:t>
      </w:r>
      <w:r>
        <w:rPr>
          <w:rFonts w:ascii="宋体" w:hAnsi="宋体" w:eastAsia="宋体" w:cs="宋体"/>
          <w:b w:val="0"/>
          <w:sz w:val="20"/>
        </w:rPr>
        <w:t>大豆意见10月26日；默认值指南10月27日。</w:t>
      </w:r>
    </w:p>
    <w:p>
      <w:pPr>
        <w:spacing w:after="60" w:line="276" w:lineRule="auto"/>
      </w:pPr>
      <w:r>
        <w:rPr>
          <w:rFonts w:ascii="黑体" w:hAnsi="黑体" w:eastAsia="黑体" w:cs="黑体"/>
          <w:b/>
          <w:sz w:val="20"/>
        </w:rPr>
        <w:t>发生了什么：</w:t>
      </w:r>
      <w:r>
        <w:rPr>
          <w:rFonts w:ascii="宋体" w:hAnsi="宋体" w:eastAsia="宋体" w:cs="宋体"/>
          <w:b w:val="0"/>
          <w:sz w:val="20"/>
        </w:rPr>
        <w:t>EFSA评估MON 94313 × MON 89788叠加大豆，公开摘要认为其在所评估用途下与非转基因对照及参照品种同样安全。另一指南更新缺少实测数据时采用的默认值和不确定性因子。</w:t>
      </w:r>
    </w:p>
    <w:p>
      <w:pPr>
        <w:spacing w:after="60" w:line="276" w:lineRule="auto"/>
      </w:pPr>
      <w:r>
        <w:rPr>
          <w:rFonts w:ascii="黑体" w:hAnsi="黑体" w:eastAsia="黑体" w:cs="黑体"/>
          <w:b/>
          <w:sz w:val="20"/>
        </w:rPr>
        <w:t>管理判断：</w:t>
      </w:r>
      <w:r>
        <w:rPr>
          <w:rFonts w:ascii="宋体" w:hAnsi="宋体" w:eastAsia="宋体" w:cs="宋体"/>
          <w:b w:val="0"/>
          <w:sz w:val="20"/>
        </w:rPr>
        <w:t>安全评估不是欧委会上市授权，也不能直接证明中国准入。指南区分典型默认值与偏保守的不确定性因子；不能把100倍因子理解为本次取消或统一调整。</w:t>
      </w:r>
    </w:p>
    <w:p>
      <w:pPr>
        <w:spacing w:after="60" w:line="276" w:lineRule="auto"/>
      </w:pPr>
      <w:r>
        <w:rPr>
          <w:rFonts w:ascii="黑体" w:hAnsi="黑体" w:eastAsia="黑体" w:cs="黑体"/>
          <w:b/>
          <w:sz w:val="20"/>
        </w:rPr>
        <w:t>本周建议：</w:t>
      </w:r>
      <w:r>
        <w:rPr>
          <w:rFonts w:ascii="宋体" w:hAnsi="宋体" w:eastAsia="宋体" w:cs="宋体"/>
          <w:b w:val="0"/>
          <w:sz w:val="20"/>
        </w:rPr>
        <w:t>采购核对事件身份、授权及检测覆盖；风险评估优先使用可靠实测数据。采用默认值或偏离建议值时记录物种、摄入量、换算基准和理由。</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S8—S9 EFSA官方摘要</w:t>
      </w:r>
    </w:p>
    <w:p>
      <w:pPr>
        <w:keepNext/>
        <w:spacing w:before="40" w:after="60" w:line="276" w:lineRule="auto"/>
      </w:pPr>
      <w:r>
        <w:rPr>
          <w:rFonts w:ascii="黑体" w:hAnsi="黑体" w:eastAsia="黑体" w:cs="黑体"/>
          <w:b/>
          <w:sz w:val="22"/>
        </w:rPr>
        <w:t>4. 中国兽药批准文号注销应纳入资质复核</w:t>
      </w:r>
    </w:p>
    <w:p>
      <w:pPr>
        <w:spacing w:after="60" w:line="276" w:lineRule="auto"/>
      </w:pPr>
      <w:r>
        <w:rPr>
          <w:rFonts w:ascii="黑体" w:hAnsi="黑体" w:eastAsia="黑体" w:cs="黑体"/>
          <w:b/>
          <w:sz w:val="20"/>
        </w:rPr>
        <w:t>日期依据：</w:t>
      </w:r>
      <w:r>
        <w:rPr>
          <w:rFonts w:ascii="宋体" w:hAnsi="宋体" w:eastAsia="宋体" w:cs="宋体"/>
          <w:b w:val="0"/>
          <w:sz w:val="20"/>
        </w:rPr>
        <w:t>第1077号公告10月26日公开，落款10月23日。</w:t>
      </w:r>
    </w:p>
    <w:p>
      <w:pPr>
        <w:spacing w:after="60" w:line="276" w:lineRule="auto"/>
      </w:pPr>
      <w:r>
        <w:rPr>
          <w:rFonts w:ascii="黑体" w:hAnsi="黑体" w:eastAsia="黑体" w:cs="黑体"/>
          <w:b/>
          <w:sz w:val="20"/>
        </w:rPr>
        <w:t>发生了什么：</w:t>
      </w:r>
      <w:r>
        <w:rPr>
          <w:rFonts w:ascii="宋体" w:hAnsi="宋体" w:eastAsia="宋体" w:cs="宋体"/>
          <w:b w:val="0"/>
          <w:sz w:val="20"/>
        </w:rPr>
        <w:t>因生产许可证注销、生产范围调整等原因，农业农村部注销25家企业175个兽药产品批准文号。正文附件表列有替米考星预混剂、硫酸黏菌素预混剂等产品及具体文号。</w:t>
      </w:r>
    </w:p>
    <w:p>
      <w:pPr>
        <w:spacing w:after="60" w:line="276" w:lineRule="auto"/>
      </w:pPr>
      <w:r>
        <w:rPr>
          <w:rFonts w:ascii="黑体" w:hAnsi="黑体" w:eastAsia="黑体" w:cs="黑体"/>
          <w:b/>
          <w:sz w:val="20"/>
        </w:rPr>
        <w:t>管理判断：</w:t>
      </w:r>
      <w:r>
        <w:rPr>
          <w:rFonts w:ascii="宋体" w:hAnsi="宋体" w:eastAsia="宋体" w:cs="宋体"/>
          <w:b w:val="0"/>
          <w:sz w:val="20"/>
        </w:rPr>
        <w:t>注销对象是准确的企业与产品文号，不能只凭通用名称停用所有供应商同名产品；行政许可变化也不能直接改写为质量不合格或残留超标。</w:t>
      </w:r>
    </w:p>
    <w:p>
      <w:pPr>
        <w:spacing w:after="60" w:line="276" w:lineRule="auto"/>
      </w:pPr>
      <w:r>
        <w:rPr>
          <w:rFonts w:ascii="黑体" w:hAnsi="黑体" w:eastAsia="黑体" w:cs="黑体"/>
          <w:b/>
          <w:sz w:val="20"/>
        </w:rPr>
        <w:t>本周建议：</w:t>
      </w:r>
      <w:r>
        <w:rPr>
          <w:rFonts w:ascii="宋体" w:hAnsi="宋体" w:eastAsia="宋体" w:cs="宋体"/>
          <w:b w:val="0"/>
          <w:sz w:val="20"/>
        </w:rPr>
        <w:t>将原料及养殖客户涉及的药品与公告清单逐项匹配，复核采购、库存、使用及追溯安排；结合实际用药、停药期和目的市场要求判断残留核查。</w:t>
      </w:r>
    </w:p>
    <w:p>
      <w:pPr>
        <w:spacing w:after="100" w:line="264" w:lineRule="auto"/>
      </w:pPr>
      <w:r>
        <w:rPr>
          <w:rFonts w:ascii="黑体" w:hAnsi="黑体" w:eastAsia="黑体" w:cs="黑体"/>
          <w:b/>
          <w:sz w:val="18"/>
        </w:rPr>
        <w:t>来源：</w:t>
      </w:r>
      <w:r>
        <w:rPr>
          <w:color w:val="0563C1"/>
          <w:u w:val="single"/>
          <w:rFonts w:eastAsia="宋体" w:ascii="宋体" w:hAnsi="宋体" w:cs="宋体"/>
          <w:sz w:val="18"/>
        </w:rPr>
        <w:t>S10 农业农村部公告及正文附件</w:t>
      </w:r>
    </w:p>
    <w:p>
      <w:r>
        <w:br w:type="page"/>
      </w:r>
    </w:p>
    <w:p>
      <w:pPr>
        <w:keepNext/>
        <w:spacing w:before="60" w:after="80" w:line="276" w:lineRule="auto"/>
      </w:pPr>
      <w:r>
        <w:rPr>
          <w:rFonts w:ascii="黑体" w:hAnsi="黑体" w:eastAsia="黑体" w:cs="黑体"/>
          <w:b/>
          <w:sz w:val="30"/>
        </w:rPr>
        <w:t>五、产品与供应链观察</w:t>
      </w:r>
    </w:p>
    <w:p>
      <w:pPr>
        <w:spacing w:after="60" w:line="276" w:lineRule="auto"/>
      </w:pPr>
      <w:r>
        <w:rPr>
          <w:rFonts w:ascii="黑体" w:hAnsi="黑体" w:eastAsia="黑体" w:cs="黑体"/>
          <w:b/>
          <w:sz w:val="20"/>
        </w:rPr>
        <w:t>中国产业观察：</w:t>
      </w:r>
      <w:r>
        <w:rPr>
          <w:rFonts w:ascii="宋体" w:hAnsi="宋体" w:eastAsia="宋体" w:cs="宋体"/>
          <w:b w:val="0"/>
          <w:sz w:val="20"/>
        </w:rPr>
        <w:t>10月29日吉家宠物发布企业稿，回顾27日宠物食安座谈会，讨论标准适配、供应链及测试能力。可据此复核自身验证能力，不将企业发言当作新标准发布或监管结论。[S11]</w:t>
      </w:r>
    </w:p>
    <w:p>
      <w:pPr>
        <w:spacing w:after="60" w:line="276" w:lineRule="auto"/>
      </w:pPr>
      <w:r>
        <w:rPr>
          <w:rFonts w:ascii="黑体" w:hAnsi="黑体" w:eastAsia="黑体" w:cs="黑体"/>
          <w:b/>
          <w:sz w:val="20"/>
        </w:rPr>
        <w:t>国际原料观察：</w:t>
      </w:r>
      <w:r>
        <w:rPr>
          <w:rFonts w:ascii="宋体" w:hAnsi="宋体" w:eastAsia="宋体" w:cs="宋体"/>
          <w:b w:val="0"/>
          <w:sz w:val="20"/>
        </w:rPr>
        <w:t>10月28日专业媒体报道Volare芬兰昆虫蛋白工厂建成，目标年产蛋白5000吨、油脂2000吨。目标产能、消化率和节能优势均为企业陈述；供应商审核仍须核原料、基质、微生物、污染物及目的市场准入。[S12]</w:t>
      </w:r>
    </w:p>
    <w:p>
      <w:pPr>
        <w:keepNext/>
        <w:spacing w:before="60" w:after="80" w:line="276" w:lineRule="auto"/>
      </w:pPr>
      <w:r>
        <w:rPr>
          <w:rFonts w:ascii="黑体" w:hAnsi="黑体" w:eastAsia="黑体" w:cs="黑体"/>
          <w:b/>
          <w:sz w:val="30"/>
        </w:rPr>
        <w:t>六、本周建议启动的管理动作</w:t>
      </w:r>
    </w:p>
    <w:p>
      <w:pPr>
        <w:keepNext w:val="0"/>
        <w:spacing w:before="0" w:after="40" w:line="276" w:lineRule="auto"/>
      </w:pPr>
      <w:r>
        <w:rPr>
          <w:rFonts w:ascii="宋体" w:hAnsi="宋体" w:eastAsia="宋体" w:cs="宋体"/>
          <w:b w:val="0"/>
          <w:sz w:val="20"/>
        </w:rPr>
        <w:t>1. 对照Darwin’s两批猫粮核查销售与库存，复核清洁消毒、客户通知和售后流程。</w:t>
      </w:r>
    </w:p>
    <w:p>
      <w:pPr>
        <w:keepNext w:val="0"/>
        <w:spacing w:before="0" w:after="40" w:line="276" w:lineRule="auto"/>
      </w:pPr>
      <w:r>
        <w:rPr>
          <w:rFonts w:ascii="宋体" w:hAnsi="宋体" w:eastAsia="宋体" w:cs="宋体"/>
          <w:b w:val="0"/>
          <w:sz w:val="20"/>
        </w:rPr>
        <w:t>2. 按六条RASFF记录匹配原料与供应商，分别处理微生物、霉变、麦角和异物风险。</w:t>
      </w:r>
    </w:p>
    <w:p>
      <w:pPr>
        <w:keepNext w:val="0"/>
        <w:spacing w:before="0" w:after="40" w:line="276" w:lineRule="auto"/>
      </w:pPr>
      <w:r>
        <w:rPr>
          <w:rFonts w:ascii="宋体" w:hAnsi="宋体" w:eastAsia="宋体" w:cs="宋体"/>
          <w:b w:val="0"/>
          <w:sz w:val="20"/>
        </w:rPr>
        <w:t>3. 更新转基因原料事件及授权清单，确认检测方法覆盖，不以EFSA意见代替准入证据。</w:t>
      </w:r>
    </w:p>
    <w:p>
      <w:pPr>
        <w:keepNext w:val="0"/>
        <w:spacing w:before="0" w:after="40" w:line="276" w:lineRule="auto"/>
      </w:pPr>
      <w:r>
        <w:rPr>
          <w:rFonts w:ascii="宋体" w:hAnsi="宋体" w:eastAsia="宋体" w:cs="宋体"/>
          <w:b w:val="0"/>
          <w:sz w:val="20"/>
        </w:rPr>
        <w:t>4. 逐项比对兽药批准文号及剂型，复核库存、追溯、用药和停药期相关记录。</w:t>
      </w:r>
    </w:p>
    <w:p>
      <w:pPr>
        <w:keepNext w:val="0"/>
        <w:spacing w:before="0" w:after="40" w:line="276" w:lineRule="auto"/>
      </w:pPr>
      <w:r>
        <w:rPr>
          <w:rFonts w:ascii="宋体" w:hAnsi="宋体" w:eastAsia="宋体" w:cs="宋体"/>
          <w:b w:val="0"/>
          <w:sz w:val="20"/>
        </w:rPr>
        <w:t>5. 开展风险评估与供应商审核时，记录数据质量、单位、摄入基准与假设，避免把宣传指标直接作为放行依据。</w:t>
      </w:r>
    </w:p>
    <w:p>
      <w:r>
        <w:br w:type="page"/>
      </w:r>
    </w:p>
    <w:p>
      <w:pPr>
        <w:keepNext/>
        <w:spacing w:before="60" w:after="80" w:line="276" w:lineRule="auto"/>
      </w:pPr>
      <w:r>
        <w:rPr>
          <w:rFonts w:ascii="黑体" w:hAnsi="黑体" w:eastAsia="黑体" w:cs="黑体"/>
          <w:b/>
          <w:sz w:val="30"/>
        </w:rPr>
        <w:t>七、信息来源与使用说明</w:t>
      </w:r>
    </w:p>
    <w:tbl>
      <w:tblPr>
        <w:tblStyle w:val="afb"/>
        <w:tblW w:type="dxa" w:w="8957"/>
        <w:jc w:val="center"/>
        <w:tblLayout w:type="fixed"/>
        <w:tblLook w:firstColumn="1" w:firstRow="1" w:lastColumn="0" w:lastRow="0" w:noHBand="0" w:noVBand="1" w:val="04A0"/>
      </w:tblPr>
      <w:tblGrid>
        <w:gridCol w:w="1224"/>
        <w:gridCol w:w="4392"/>
        <w:gridCol w:w="1872"/>
        <w:gridCol w:w="1469"/>
      </w:tblGrid>
      <w:tr>
        <w:trPr>
          <w:tblHeader w:val="true"/>
          <w:cantSplit/>
        </w:trPr>
        <w:tc>
          <w:tcPr>
            <w:tcW w:type="dxa" w:w="1224"/>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编号/日期</w:t>
            </w:r>
          </w:p>
        </w:tc>
        <w:tc>
          <w:tcPr>
            <w:tcW w:type="dxa" w:w="439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来源与主题</w:t>
            </w:r>
          </w:p>
        </w:tc>
        <w:tc>
          <w:tcPr>
            <w:tcW w:type="dxa" w:w="1872"/>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性质</w:t>
            </w:r>
          </w:p>
        </w:tc>
        <w:tc>
          <w:tcPr>
            <w:tcW w:type="dxa" w:w="1469"/>
            <w:vAlign w:val="center"/>
            <w:shd w:fill="7F7F7F"/>
            <w:tcMar>
              <w:top w:w="75" w:type="dxa"/>
              <w:start w:w="75" w:type="dxa"/>
              <w:bottom w:w="75" w:type="dxa"/>
              <w:end w:w="75" w:type="dxa"/>
            </w:tcMar>
          </w:tcPr>
          <w:p>
            <w:pPr>
              <w:spacing w:after="0" w:line="247" w:lineRule="auto"/>
              <w:jc w:val="center"/>
            </w:pPr>
            <w:r/>
            <w:r>
              <w:rPr>
                <w:rFonts w:ascii="黑体" w:hAnsi="黑体" w:eastAsia="黑体" w:cs="黑体"/>
                <w:b/>
                <w:color w:val="FFFFFF"/>
                <w:sz w:val="16"/>
              </w:rPr>
              <w:t>链接</w:t>
            </w:r>
          </w:p>
        </w:tc>
      </w:tr>
      <w:tr>
        <w:trPr>
          <w:cantSplit/>
        </w:trPr>
        <w:tc>
          <w:tcPr>
            <w:tcW w:type="dxa" w:w="1224"/>
            <w:vAlign w:val="center"/>
            <w:tcMar>
              <w:top w:w="75" w:type="dxa"/>
              <w:start w:w="75" w:type="dxa"/>
              <w:bottom w:w="75" w:type="dxa"/>
              <w:end w:w="75" w:type="dxa"/>
            </w:tcMar>
          </w:tcPr>
          <w:p>
            <w:pPr>
              <w:spacing w:after="0" w:line="247" w:lineRule="auto"/>
              <w:jc w:val="center"/>
            </w:pPr>
            <w:r>
              <w:t>S1</w:t>
            </w:r>
            <w:r>
              <w:br/>
              <w:t>2026-10-26</w:t>
            </w:r>
          </w:p>
        </w:tc>
        <w:tc>
          <w:tcPr>
            <w:tcW w:type="dxa" w:w="4392"/>
            <w:vAlign w:val="center"/>
            <w:tcMar>
              <w:top w:w="75" w:type="dxa"/>
              <w:start w:w="75" w:type="dxa"/>
              <w:bottom w:w="75" w:type="dxa"/>
              <w:end w:w="75" w:type="dxa"/>
            </w:tcMar>
          </w:tcPr>
          <w:p>
            <w:pPr>
              <w:spacing w:after="0" w:line="247" w:lineRule="auto"/>
            </w:pPr>
            <w:r>
              <w:t>Darwin’s鸡肉猫粮沙门氏菌警示</w:t>
            </w:r>
          </w:p>
        </w:tc>
        <w:tc>
          <w:tcPr>
            <w:tcW w:type="dxa" w:w="1872"/>
            <w:vAlign w:val="center"/>
            <w:tcMar>
              <w:top w:w="75" w:type="dxa"/>
              <w:start w:w="75" w:type="dxa"/>
              <w:bottom w:w="75" w:type="dxa"/>
              <w:end w:w="75" w:type="dxa"/>
            </w:tcMar>
          </w:tcPr>
          <w:p>
            <w:pPr>
              <w:spacing w:after="0" w:line="247" w:lineRule="auto"/>
            </w:pPr>
            <w:r>
              <w:t>美国官方警示</w:t>
            </w:r>
          </w:p>
        </w:tc>
        <w:tc>
          <w:tcPr>
            <w:tcW w:type="dxa" w:w="1469"/>
            <w:vAlign w:val="center"/>
            <w:tcMar>
              <w:top w:w="75" w:type="dxa"/>
              <w:start w:w="75" w:type="dxa"/>
              <w:bottom w:w="75" w:type="dxa"/>
              <w:end w:w="75" w:type="dxa"/>
            </w:tcMar>
          </w:tcPr>
          <w:p>
            <w:pPr>
              <w:spacing w:after="0" w:line="240" w:lineRule="auto"/>
              <w:jc w:val="center"/>
            </w:pPr>
            <w:r/>
            <w:hyperlink r:id="rId24">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S2</w:t>
            </w:r>
            <w:r>
              <w:br/>
              <w:t>2026-10-26</w:t>
            </w:r>
          </w:p>
        </w:tc>
        <w:tc>
          <w:tcPr>
            <w:tcW w:type="dxa" w:w="4392"/>
            <w:vAlign w:val="center"/>
            <w:tcMar>
              <w:top w:w="75" w:type="dxa"/>
              <w:start w:w="75" w:type="dxa"/>
              <w:bottom w:w="75" w:type="dxa"/>
              <w:end w:w="75" w:type="dxa"/>
            </w:tcMar>
          </w:tcPr>
          <w:p>
            <w:pPr>
              <w:spacing w:after="0" w:line="247" w:lineRule="auto"/>
            </w:pPr>
            <w:r>
              <w:t>RASFF 2026.9501
火鸡肉粉沙门氏菌</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15">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S3</w:t>
            </w:r>
            <w:r>
              <w:br/>
              <w:t>2026-10-27</w:t>
            </w:r>
          </w:p>
        </w:tc>
        <w:tc>
          <w:tcPr>
            <w:tcW w:type="dxa" w:w="4392"/>
            <w:vAlign w:val="center"/>
            <w:tcMar>
              <w:top w:w="75" w:type="dxa"/>
              <w:start w:w="75" w:type="dxa"/>
              <w:bottom w:w="75" w:type="dxa"/>
              <w:end w:w="75" w:type="dxa"/>
            </w:tcMar>
          </w:tcPr>
          <w:p>
            <w:pPr>
              <w:spacing w:after="0" w:line="247" w:lineRule="auto"/>
            </w:pPr>
            <w:r>
              <w:t>RASFF 2026.9534
甜菜浆霉变</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16">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S4</w:t>
            </w:r>
            <w:r>
              <w:br/>
              <w:t>2026-10-27</w:t>
            </w:r>
          </w:p>
        </w:tc>
        <w:tc>
          <w:tcPr>
            <w:tcW w:type="dxa" w:w="4392"/>
            <w:vAlign w:val="center"/>
            <w:tcMar>
              <w:top w:w="75" w:type="dxa"/>
              <w:start w:w="75" w:type="dxa"/>
              <w:bottom w:w="75" w:type="dxa"/>
              <w:end w:w="75" w:type="dxa"/>
            </w:tcMar>
          </w:tcPr>
          <w:p>
            <w:pPr>
              <w:spacing w:after="0" w:line="247" w:lineRule="auto"/>
            </w:pPr>
            <w:r>
              <w:t>RASFF 2026.9556
黑小麦麦角</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21">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S5</w:t>
            </w:r>
            <w:r>
              <w:br/>
              <w:t>2026-10-27</w:t>
            </w:r>
          </w:p>
        </w:tc>
        <w:tc>
          <w:tcPr>
            <w:tcW w:type="dxa" w:w="4392"/>
            <w:vAlign w:val="center"/>
            <w:tcMar>
              <w:top w:w="75" w:type="dxa"/>
              <w:start w:w="75" w:type="dxa"/>
              <w:bottom w:w="75" w:type="dxa"/>
              <w:end w:w="75" w:type="dxa"/>
            </w:tcMar>
          </w:tcPr>
          <w:p>
            <w:pPr>
              <w:spacing w:after="0" w:line="247" w:lineRule="auto"/>
            </w:pPr>
            <w:r>
              <w:t>RASFF 2026.9569
湿犬粮物理危险</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22">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S6</w:t>
            </w:r>
            <w:r>
              <w:br/>
              <w:t>2026-10-28</w:t>
            </w:r>
          </w:p>
        </w:tc>
        <w:tc>
          <w:tcPr>
            <w:tcW w:type="dxa" w:w="4392"/>
            <w:vAlign w:val="center"/>
            <w:tcMar>
              <w:top w:w="75" w:type="dxa"/>
              <w:start w:w="75" w:type="dxa"/>
              <w:bottom w:w="75" w:type="dxa"/>
              <w:end w:w="75" w:type="dxa"/>
            </w:tcMar>
          </w:tcPr>
          <w:p>
            <w:pPr>
              <w:spacing w:after="0" w:line="247" w:lineRule="auto"/>
            </w:pPr>
            <w:r>
              <w:t>RASFF 2026.9581
鸭肉粉沙门氏菌</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23">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S7</w:t>
            </w:r>
            <w:r>
              <w:br/>
              <w:t>2026-10-28</w:t>
            </w:r>
          </w:p>
        </w:tc>
        <w:tc>
          <w:tcPr>
            <w:tcW w:type="dxa" w:w="4392"/>
            <w:vAlign w:val="center"/>
            <w:tcMar>
              <w:top w:w="75" w:type="dxa"/>
              <w:start w:w="75" w:type="dxa"/>
              <w:bottom w:w="75" w:type="dxa"/>
              <w:end w:w="75" w:type="dxa"/>
            </w:tcMar>
          </w:tcPr>
          <w:p>
            <w:pPr>
              <w:spacing w:after="0" w:line="247" w:lineRule="auto"/>
            </w:pPr>
            <w:r>
              <w:t>RASFF 2026.9588
甜菜浆霉变</w:t>
            </w:r>
          </w:p>
        </w:tc>
        <w:tc>
          <w:tcPr>
            <w:tcW w:type="dxa" w:w="1872"/>
            <w:vAlign w:val="center"/>
            <w:tcMar>
              <w:top w:w="75" w:type="dxa"/>
              <w:start w:w="75" w:type="dxa"/>
              <w:bottom w:w="75" w:type="dxa"/>
              <w:end w:w="75" w:type="dxa"/>
            </w:tcMar>
          </w:tcPr>
          <w:p>
            <w:pPr>
              <w:spacing w:after="0" w:line="247" w:lineRule="auto"/>
            </w:pPr>
            <w:r>
              <w:t>欧盟官方通报</w:t>
            </w:r>
          </w:p>
        </w:tc>
        <w:tc>
          <w:tcPr>
            <w:tcW w:type="dxa" w:w="1469"/>
            <w:vAlign w:val="center"/>
            <w:tcMar>
              <w:top w:w="75" w:type="dxa"/>
              <w:start w:w="75" w:type="dxa"/>
              <w:bottom w:w="75" w:type="dxa"/>
              <w:end w:w="75" w:type="dxa"/>
            </w:tcMar>
          </w:tcPr>
          <w:p>
            <w:pPr>
              <w:spacing w:after="0" w:line="240" w:lineRule="auto"/>
              <w:jc w:val="center"/>
            </w:pPr>
            <w:r/>
            <w:hyperlink r:id="rId31">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S8</w:t>
            </w:r>
            <w:r>
              <w:br/>
              <w:t>2026-10-26</w:t>
            </w:r>
          </w:p>
        </w:tc>
        <w:tc>
          <w:tcPr>
            <w:tcW w:type="dxa" w:w="4392"/>
            <w:vAlign w:val="center"/>
            <w:tcMar>
              <w:top w:w="75" w:type="dxa"/>
              <w:start w:w="75" w:type="dxa"/>
              <w:bottom w:w="75" w:type="dxa"/>
              <w:end w:w="75" w:type="dxa"/>
            </w:tcMar>
          </w:tcPr>
          <w:p>
            <w:pPr>
              <w:spacing w:after="0" w:line="247" w:lineRule="auto"/>
            </w:pPr>
            <w:r>
              <w:t>EFSA 10366 叠加大豆评估</w:t>
            </w:r>
          </w:p>
        </w:tc>
        <w:tc>
          <w:tcPr>
            <w:tcW w:type="dxa" w:w="1872"/>
            <w:vAlign w:val="center"/>
            <w:tcMar>
              <w:top w:w="75" w:type="dxa"/>
              <w:start w:w="75" w:type="dxa"/>
              <w:bottom w:w="75" w:type="dxa"/>
              <w:end w:w="75" w:type="dxa"/>
            </w:tcMar>
          </w:tcPr>
          <w:p>
            <w:pPr>
              <w:spacing w:after="0" w:line="247" w:lineRule="auto"/>
            </w:pPr>
            <w:r>
              <w:t>科学意见摘要</w:t>
            </w:r>
          </w:p>
        </w:tc>
        <w:tc>
          <w:tcPr>
            <w:tcW w:type="dxa" w:w="1469"/>
            <w:vAlign w:val="center"/>
            <w:tcMar>
              <w:top w:w="75" w:type="dxa"/>
              <w:start w:w="75" w:type="dxa"/>
              <w:bottom w:w="75" w:type="dxa"/>
              <w:end w:w="75" w:type="dxa"/>
            </w:tcMar>
          </w:tcPr>
          <w:p>
            <w:pPr>
              <w:spacing w:after="0" w:line="240" w:lineRule="auto"/>
              <w:jc w:val="center"/>
            </w:pPr>
            <w:r/>
            <w:hyperlink r:id="rId32">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S9</w:t>
            </w:r>
            <w:r>
              <w:br/>
              <w:t>2026-10-27</w:t>
            </w:r>
          </w:p>
        </w:tc>
        <w:tc>
          <w:tcPr>
            <w:tcW w:type="dxa" w:w="4392"/>
            <w:vAlign w:val="center"/>
            <w:tcMar>
              <w:top w:w="75" w:type="dxa"/>
              <w:start w:w="75" w:type="dxa"/>
              <w:bottom w:w="75" w:type="dxa"/>
              <w:end w:w="75" w:type="dxa"/>
            </w:tcMar>
          </w:tcPr>
          <w:p>
            <w:pPr>
              <w:spacing w:after="0" w:line="247" w:lineRule="auto"/>
            </w:pPr>
            <w:r>
              <w:t>EFSA 10391 默认值与不确定性因子</w:t>
            </w:r>
          </w:p>
        </w:tc>
        <w:tc>
          <w:tcPr>
            <w:tcW w:type="dxa" w:w="1872"/>
            <w:vAlign w:val="center"/>
            <w:tcMar>
              <w:top w:w="75" w:type="dxa"/>
              <w:start w:w="75" w:type="dxa"/>
              <w:bottom w:w="75" w:type="dxa"/>
              <w:end w:w="75" w:type="dxa"/>
            </w:tcMar>
          </w:tcPr>
          <w:p>
            <w:pPr>
              <w:spacing w:after="0" w:line="247" w:lineRule="auto"/>
            </w:pPr>
            <w:r>
              <w:t>指南摘要</w:t>
            </w:r>
          </w:p>
        </w:tc>
        <w:tc>
          <w:tcPr>
            <w:tcW w:type="dxa" w:w="1469"/>
            <w:vAlign w:val="center"/>
            <w:tcMar>
              <w:top w:w="75" w:type="dxa"/>
              <w:start w:w="75" w:type="dxa"/>
              <w:bottom w:w="75" w:type="dxa"/>
              <w:end w:w="75" w:type="dxa"/>
            </w:tcMar>
          </w:tcPr>
          <w:p>
            <w:pPr>
              <w:spacing w:after="0" w:line="240" w:lineRule="auto"/>
              <w:jc w:val="center"/>
            </w:pPr>
            <w:r/>
            <w:hyperlink r:id="rId33">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S10</w:t>
            </w:r>
            <w:r>
              <w:br/>
              <w:t>2026-10-26</w:t>
            </w:r>
          </w:p>
        </w:tc>
        <w:tc>
          <w:tcPr>
            <w:tcW w:type="dxa" w:w="4392"/>
            <w:vAlign w:val="center"/>
            <w:tcMar>
              <w:top w:w="75" w:type="dxa"/>
              <w:start w:w="75" w:type="dxa"/>
              <w:bottom w:w="75" w:type="dxa"/>
              <w:end w:w="75" w:type="dxa"/>
            </w:tcMar>
          </w:tcPr>
          <w:p>
            <w:pPr>
              <w:spacing w:after="0" w:line="247" w:lineRule="auto"/>
            </w:pPr>
            <w:r>
              <w:t>第1077号公告 兽药文号注销</w:t>
            </w:r>
          </w:p>
        </w:tc>
        <w:tc>
          <w:tcPr>
            <w:tcW w:type="dxa" w:w="1872"/>
            <w:vAlign w:val="center"/>
            <w:tcMar>
              <w:top w:w="75" w:type="dxa"/>
              <w:start w:w="75" w:type="dxa"/>
              <w:bottom w:w="75" w:type="dxa"/>
              <w:end w:w="75" w:type="dxa"/>
            </w:tcMar>
          </w:tcPr>
          <w:p>
            <w:pPr>
              <w:spacing w:after="0" w:line="247" w:lineRule="auto"/>
            </w:pPr>
            <w:r>
              <w:t>中国官方公告</w:t>
            </w:r>
          </w:p>
        </w:tc>
        <w:tc>
          <w:tcPr>
            <w:tcW w:type="dxa" w:w="1469"/>
            <w:vAlign w:val="center"/>
            <w:tcMar>
              <w:top w:w="75" w:type="dxa"/>
              <w:start w:w="75" w:type="dxa"/>
              <w:bottom w:w="75" w:type="dxa"/>
              <w:end w:w="75" w:type="dxa"/>
            </w:tcMar>
          </w:tcPr>
          <w:p>
            <w:pPr>
              <w:spacing w:after="0" w:line="240" w:lineRule="auto"/>
              <w:jc w:val="center"/>
            </w:pPr>
            <w:r/>
            <w:hyperlink r:id="rId34">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S11</w:t>
            </w:r>
            <w:r>
              <w:br/>
              <w:t>2026-10-29</w:t>
            </w:r>
          </w:p>
        </w:tc>
        <w:tc>
          <w:tcPr>
            <w:tcW w:type="dxa" w:w="4392"/>
            <w:vAlign w:val="center"/>
            <w:tcMar>
              <w:top w:w="75" w:type="dxa"/>
              <w:start w:w="75" w:type="dxa"/>
              <w:bottom w:w="75" w:type="dxa"/>
              <w:end w:w="75" w:type="dxa"/>
            </w:tcMar>
          </w:tcPr>
          <w:p>
            <w:pPr>
              <w:spacing w:after="0" w:line="247" w:lineRule="auto"/>
            </w:pPr>
            <w:r>
              <w:t>吉家宠物食安座谈会观察</w:t>
            </w:r>
          </w:p>
        </w:tc>
        <w:tc>
          <w:tcPr>
            <w:tcW w:type="dxa" w:w="1872"/>
            <w:vAlign w:val="center"/>
            <w:tcMar>
              <w:top w:w="75" w:type="dxa"/>
              <w:start w:w="75" w:type="dxa"/>
              <w:bottom w:w="75" w:type="dxa"/>
              <w:end w:w="75" w:type="dxa"/>
            </w:tcMar>
          </w:tcPr>
          <w:p>
            <w:pPr>
              <w:spacing w:after="0" w:line="247" w:lineRule="auto"/>
            </w:pPr>
            <w:r>
              <w:t>企业新闻稿</w:t>
            </w:r>
          </w:p>
        </w:tc>
        <w:tc>
          <w:tcPr>
            <w:tcW w:type="dxa" w:w="1469"/>
            <w:vAlign w:val="center"/>
            <w:tcMar>
              <w:top w:w="75" w:type="dxa"/>
              <w:start w:w="75" w:type="dxa"/>
              <w:bottom w:w="75" w:type="dxa"/>
              <w:end w:w="75" w:type="dxa"/>
            </w:tcMar>
          </w:tcPr>
          <w:p>
            <w:pPr>
              <w:spacing w:after="0" w:line="240" w:lineRule="auto"/>
              <w:jc w:val="center"/>
            </w:pPr>
            <w:r/>
            <w:hyperlink r:id="rId35">
              <w:r>
                <w:rPr>
                  <w:color w:val="0563C1"/>
                  <w:u w:val="single"/>
                  <w:rFonts w:eastAsia="宋体" w:ascii="宋体" w:hAnsi="宋体" w:cs="宋体"/>
                  <w:sz w:val="15"/>
                </w:rPr>
                <w:t>打开来源</w:t>
              </w:r>
            </w:hyperlink>
          </w:p>
        </w:tc>
      </w:tr>
      <w:tr>
        <w:trPr>
          <w:cantSplit/>
        </w:trPr>
        <w:tc>
          <w:tcPr>
            <w:tcW w:type="dxa" w:w="1224"/>
            <w:vAlign w:val="center"/>
            <w:tcMar>
              <w:top w:w="75" w:type="dxa"/>
              <w:start w:w="75" w:type="dxa"/>
              <w:bottom w:w="75" w:type="dxa"/>
              <w:end w:w="75" w:type="dxa"/>
            </w:tcMar>
          </w:tcPr>
          <w:p>
            <w:pPr>
              <w:spacing w:after="0" w:line="247" w:lineRule="auto"/>
              <w:jc w:val="center"/>
            </w:pPr>
            <w:r>
              <w:t>S12</w:t>
            </w:r>
            <w:r>
              <w:br/>
              <w:t>2026-10-28</w:t>
            </w:r>
          </w:p>
        </w:tc>
        <w:tc>
          <w:tcPr>
            <w:tcW w:type="dxa" w:w="4392"/>
            <w:vAlign w:val="center"/>
            <w:tcMar>
              <w:top w:w="75" w:type="dxa"/>
              <w:start w:w="75" w:type="dxa"/>
              <w:bottom w:w="75" w:type="dxa"/>
              <w:end w:w="75" w:type="dxa"/>
            </w:tcMar>
          </w:tcPr>
          <w:p>
            <w:pPr>
              <w:spacing w:after="0" w:line="247" w:lineRule="auto"/>
            </w:pPr>
            <w:r>
              <w:t>Volare昆虫蛋白工厂</w:t>
            </w:r>
          </w:p>
        </w:tc>
        <w:tc>
          <w:tcPr>
            <w:tcW w:type="dxa" w:w="1872"/>
            <w:vAlign w:val="center"/>
            <w:tcMar>
              <w:top w:w="75" w:type="dxa"/>
              <w:start w:w="75" w:type="dxa"/>
              <w:bottom w:w="75" w:type="dxa"/>
              <w:end w:w="75" w:type="dxa"/>
            </w:tcMar>
          </w:tcPr>
          <w:p>
            <w:pPr>
              <w:spacing w:after="0" w:line="247" w:lineRule="auto"/>
            </w:pPr>
            <w:r>
              <w:t>专业媒体企业报道</w:t>
            </w:r>
          </w:p>
        </w:tc>
        <w:tc>
          <w:tcPr>
            <w:tcW w:type="dxa" w:w="1469"/>
            <w:vAlign w:val="center"/>
            <w:tcMar>
              <w:top w:w="75" w:type="dxa"/>
              <w:start w:w="75" w:type="dxa"/>
              <w:bottom w:w="75" w:type="dxa"/>
              <w:end w:w="75" w:type="dxa"/>
            </w:tcMar>
          </w:tcPr>
          <w:p>
            <w:pPr>
              <w:spacing w:after="0" w:line="240" w:lineRule="auto"/>
              <w:jc w:val="center"/>
            </w:pPr>
            <w:r/>
            <w:hyperlink r:id="rId36">
              <w:r>
                <w:rPr>
                  <w:color w:val="0563C1"/>
                  <w:u w:val="single"/>
                  <w:rFonts w:eastAsia="宋体" w:ascii="宋体" w:hAnsi="宋体" w:cs="宋体"/>
                  <w:sz w:val="15"/>
                </w:rPr>
                <w:t>打开来源</w:t>
              </w:r>
            </w:hyperlink>
          </w:p>
        </w:tc>
      </w:tr>
    </w:tbl>
    <w:p>
      <w:pPr>
        <w:keepNext w:val="0"/>
        <w:spacing w:before="140" w:after="60" w:line="276" w:lineRule="auto"/>
      </w:pPr>
      <w:r>
        <w:rPr>
          <w:rFonts w:ascii="宋体" w:hAnsi="宋体" w:eastAsia="宋体" w:cs="宋体"/>
          <w:b w:val="0"/>
          <w:sz w:val="19"/>
        </w:rPr>
        <w:t>阅读说明：EFSA结论仅按官方实质摘要表述，全文入口受限；科学意见不替代授权。海关、登记系统及部分来源仍有访问或覆盖限制，未核实与19:00边界不明事项不作合规结论，不据此断言没有更新。
本刊供质量、法规与经营决策参考。具体批次放行、进出口和标签宣称仍需结合目的市场要求、产品规格及完整证据。</w:t>
      </w:r>
    </w:p>
    <w:p>
      <w:pPr>
        <w:keepNext w:val="0"/>
        <w:spacing w:before="120" w:after="60" w:line="276" w:lineRule="auto"/>
        <w:jc w:val="center"/>
      </w:pPr>
      <w:r>
        <w:rPr>
          <w:rFonts w:ascii="宋体" w:hAnsi="宋体" w:eastAsia="宋体" w:cs="宋体"/>
          <w:b w:val="0"/>
          <w:sz w:val="18"/>
        </w:rPr>
        <w:t>----------------------------------------结束----------------------------------------</w:t>
      </w:r>
    </w:p>
    <w:sectPr w:rsidR="00C95045" w:rsidRPr="00694756" w:rsidSect="00A203B4">
      <w:headerReference w:type="default" r:id="rId17"/>
      <w:footerReference w:type="default" r:id="rId18"/>
      <w:pgSz w:w="11906" w:h="16838"/>
      <w:pgMar w:top="936" w:right="1080" w:bottom="93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EA966" w14:textId="77777777" w:rsidR="007B3093" w:rsidRDefault="007B3093" w:rsidP="00A9502E">
      <w:pPr>
        <w:spacing w:before="0"/>
      </w:pPr>
      <w:r>
        <w:separator/>
      </w:r>
    </w:p>
  </w:endnote>
  <w:endnote w:type="continuationSeparator" w:id="0">
    <w:p w14:paraId="10C1EC84" w14:textId="77777777" w:rsidR="007B3093" w:rsidRDefault="007B3093" w:rsidP="00A9502E">
      <w:pPr>
        <w:spacing w:before="0"/>
      </w:pPr>
      <w:r>
        <w:continuationSeparator/>
      </w:r>
    </w:p>
  </w:endnote>
</w:endnotes>
</file>

<file path=word/fontTable.xml><?xml version="1.0" encoding="utf-8"?>
<w:fonts xmlns:w="http://schemas.openxmlformats.org/wordprocessingml/2006/main">
  <w:font w:name="Symbol">
    <w:charset w:val="00"/>
  </w:font>
  <w:font w:name="Wingdings">
    <w:charset w:val="00"/>
  </w:font>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07361"/>
      <w:docPartObj>
        <w:docPartGallery w:val="Page Numbers (Bottom of Page)"/>
        <w:docPartUnique/>
      </w:docPartObj>
    </w:sdtPr>
    <w:sdtEndPr>
      <w:rPr>
        <w:noProof/>
      </w:rPr>
    </w:sdtEndPr>
    <w:sdtContent>
      <w:p w14:paraId="4249988E" w14:textId="51DB7573" w:rsidR="00B34DFF" w:rsidRDefault="00B34DFF">
        <w:pPr>
          <w:pStyle w:val="a3"/>
          <w:jc w:val="right"/>
        </w:pPr>
        <w:r>
          <w:fldChar w:fldCharType="begin"/>
        </w:r>
        <w:r>
          <w:instrText xml:space="preserve"> PAGE   \* MERGEFORMAT </w:instrText>
        </w:r>
        <w:r>
          <w:fldChar w:fldCharType="separate"/>
        </w:r>
        <w:r>
          <w:rPr>
            <w:noProof/>
          </w:rPr>
          <w:t>2</w:t>
        </w:r>
        <w:r>
          <w:rPr>
            <w:noProof/>
          </w:rPr>
          <w:fldChar w:fldCharType="end"/>
        </w:r>
      </w:p>
    </w:sdtContent>
  </w:sdt>
  <w:p w14:paraId="2B558783" w14:textId="77777777" w:rsidR="00B34DFF" w:rsidRDefault="00B34DF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B3983" w14:textId="77777777" w:rsidR="007B3093" w:rsidRDefault="007B3093" w:rsidP="00A9502E">
      <w:pPr>
        <w:spacing w:before="0"/>
      </w:pPr>
      <w:r>
        <w:separator/>
      </w:r>
    </w:p>
  </w:footnote>
  <w:footnote w:type="continuationSeparator" w:id="0">
    <w:p w14:paraId="29DFC4E0" w14:textId="77777777" w:rsidR="007B3093" w:rsidRDefault="007B3093" w:rsidP="00A9502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F8F5" w14:textId="599A2B6D" w:rsidR="00A9502E" w:rsidRDefault="00A9502E">
    <w:pPr>
      <w:pStyle w:val="af9"/>
    </w:pPr>
    <w:r w:rsidRPr="00A9502E">
      <w:rPr>
        <w:noProof/>
      </w:rPr>
      <w:drawing>
        <wp:inline distT="0" distB="0" distL="0" distR="0" wp14:anchorId="2B18C46E" wp14:editId="15BAD590">
          <wp:extent cx="1880436" cy="885825"/>
          <wp:effectExtent l="0" t="0" r="5715" b="0"/>
          <wp:docPr id="11" name="Picture 10">
            <a:extLst xmlns:a="http://schemas.openxmlformats.org/drawingml/2006/main">
              <a:ext uri="{FF2B5EF4-FFF2-40B4-BE49-F238E27FC236}">
                <a16:creationId xmlns:a16="http://schemas.microsoft.com/office/drawing/2014/main" id="{85775F0B-6334-2F46-9B7D-AA2C76DF64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85775F0B-6334-2F46-9B7D-AA2C76DF647A}"/>
                      </a:ext>
                    </a:extLst>
                  </pic:cNvPr>
                  <pic:cNvPicPr>
                    <a:picLocks noChangeAspect="1"/>
                  </pic:cNvPicPr>
                </pic:nvPicPr>
                <pic:blipFill>
                  <a:blip r:embed="rId1" cstate="email">
                    <a:extLst>
                      <a:ext uri="{28A0092B-C50C-407E-A947-70E740481C1C}">
                        <a14:useLocalDpi xmlns:a14="http://schemas.microsoft.com/office/drawing/2010/main"/>
                      </a:ext>
                    </a:extLst>
                  </a:blip>
                  <a:stretch>
                    <a:fillRect/>
                  </a:stretch>
                </pic:blipFill>
                <pic:spPr>
                  <a:xfrm>
                    <a:off x="0" y="0"/>
                    <a:ext cx="1885981" cy="888437"/>
                  </a:xfrm>
                  <a:prstGeom prst="rect">
                    <a:avLst/>
                  </a:prstGeom>
                </pic:spPr>
              </pic:pic>
            </a:graphicData>
          </a:graphic>
        </wp:inline>
      </w:drawing>
    </w:r>
  </w:p>
  <w:p w14:paraId="6B864576" w14:textId="77777777" w:rsidR="00A9502E" w:rsidRDefault="00A9502E">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1AB1"/>
    <w:multiLevelType w:val="hybridMultilevel"/>
    <w:tmpl w:val="921E20BA"/>
    <w:lvl w:ilvl="0" w:tplc="147C37AE">
      <w:start w:val="2"/>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6CC7A47"/>
    <w:multiLevelType w:val="hybridMultilevel"/>
    <w:tmpl w:val="46021D8E"/>
    <w:lvl w:ilvl="0" w:tplc="DE5870DC">
      <w:start w:val="3"/>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9292059"/>
    <w:multiLevelType w:val="hybridMultilevel"/>
    <w:tmpl w:val="B7525452"/>
    <w:lvl w:ilvl="0" w:tplc="528EA63C">
      <w:start w:val="1"/>
      <w:numFmt w:val="decimal"/>
      <w:lvlText w:val="%1."/>
      <w:lvlJc w:val="left"/>
      <w:pPr>
        <w:ind w:left="360" w:hanging="360"/>
      </w:pPr>
      <w:rPr>
        <w:rFonts w:hint="default" w:ascii="黑体" w:hAnsi="黑体" w:eastAsia="黑体" w:cs="黑体"/>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D9842BE"/>
    <w:multiLevelType w:val="hybridMultilevel"/>
    <w:tmpl w:val="8352426C"/>
    <w:lvl w:ilvl="0" w:tplc="5E58E630">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76E794B"/>
    <w:multiLevelType w:val="hybridMultilevel"/>
    <w:tmpl w:val="11BCB492"/>
    <w:lvl w:ilvl="0" w:tplc="6B08A12E">
      <w:start w:val="8"/>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0CD0E09"/>
    <w:multiLevelType w:val="hybridMultilevel"/>
    <w:tmpl w:val="2E6A0BB6"/>
    <w:lvl w:ilvl="0" w:tplc="AB8C9454">
      <w:start w:val="1"/>
      <w:numFmt w:val="decimal"/>
      <w:pStyle w:val="Numbered1"/>
      <w:lvlText w:val="%1."/>
      <w:lvlJc w:val="left"/>
      <w:pPr>
        <w:ind w:left="1080" w:hanging="360"/>
      </w:pPr>
      <w:rPr>
        <w:rFonts w:hint="default" w:ascii="宋体" w:hAnsi="宋体" w:eastAsia="宋体" w:cs="宋体"/>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4B6843"/>
    <w:multiLevelType w:val="multilevel"/>
    <w:tmpl w:val="9BB01E42"/>
    <w:lvl w:ilvl="0">
      <w:start w:val="1"/>
      <w:numFmt w:val="decimal"/>
      <w:pStyle w:val="1"/>
      <w:lvlText w:val="%1"/>
      <w:lvlJc w:val="left"/>
      <w:pPr>
        <w:ind w:left="578" w:hanging="578"/>
      </w:pPr>
      <w:rPr>
        <w:rFonts w:hint="default" w:ascii="宋体" w:hAnsi="宋体" w:eastAsia="宋体" w:cs="宋体"/>
      </w:rPr>
    </w:lvl>
    <w:lvl w:ilvl="1">
      <w:start w:val="1"/>
      <w:numFmt w:val="decimal"/>
      <w:pStyle w:val="2"/>
      <w:lvlText w:val="%1.%2"/>
      <w:lvlJc w:val="left"/>
      <w:pPr>
        <w:ind w:left="576" w:hanging="576"/>
      </w:pPr>
      <w:rPr>
        <w:rFonts w:hint="default" w:ascii="宋体" w:hAnsi="宋体" w:eastAsia="宋体" w:cs="宋体"/>
      </w:rPr>
    </w:lvl>
    <w:lvl w:ilvl="2">
      <w:start w:val="1"/>
      <w:numFmt w:val="decimal"/>
      <w:pStyle w:val="3"/>
      <w:lvlText w:val="%1.%2.%3"/>
      <w:lvlJc w:val="left"/>
      <w:pPr>
        <w:ind w:left="720" w:hanging="720"/>
      </w:pPr>
      <w:rPr>
        <w:rFonts w:hint="default" w:ascii="宋体" w:hAnsi="宋体" w:eastAsia="宋体" w:cs="宋体"/>
      </w:rPr>
    </w:lvl>
    <w:lvl w:ilvl="3">
      <w:start w:val="1"/>
      <w:numFmt w:val="decimal"/>
      <w:pStyle w:val="4"/>
      <w:lvlText w:val="%1.%2.%3.%4"/>
      <w:lvlJc w:val="left"/>
      <w:pPr>
        <w:ind w:left="864" w:hanging="864"/>
      </w:pPr>
      <w:rPr>
        <w:rFonts w:hint="default" w:ascii="宋体" w:hAnsi="宋体" w:eastAsia="宋体" w:cs="宋体"/>
      </w:rPr>
    </w:lvl>
    <w:lvl w:ilvl="4">
      <w:start w:val="1"/>
      <w:numFmt w:val="decimal"/>
      <w:pStyle w:val="5"/>
      <w:lvlText w:val="%1.%2.%3.%4.%5"/>
      <w:lvlJc w:val="left"/>
      <w:pPr>
        <w:ind w:left="1008" w:hanging="1008"/>
      </w:pPr>
      <w:rPr>
        <w:rFonts w:hint="default" w:ascii="宋体" w:hAnsi="宋体" w:eastAsia="宋体" w:cs="宋体"/>
      </w:rPr>
    </w:lvl>
    <w:lvl w:ilvl="5">
      <w:start w:val="1"/>
      <w:numFmt w:val="decimal"/>
      <w:pStyle w:val="6"/>
      <w:lvlText w:val="%1.%2.%3.%4.%5.%6"/>
      <w:lvlJc w:val="left"/>
      <w:pPr>
        <w:ind w:left="1152" w:hanging="1152"/>
      </w:pPr>
      <w:rPr>
        <w:rFonts w:hint="default" w:ascii="宋体" w:hAnsi="宋体" w:eastAsia="宋体" w:cs="宋体"/>
      </w:rPr>
    </w:lvl>
    <w:lvl w:ilvl="6">
      <w:start w:val="1"/>
      <w:numFmt w:val="decimal"/>
      <w:pStyle w:val="7"/>
      <w:lvlText w:val="%1.%2.%3.%4.%5.%6.%7"/>
      <w:lvlJc w:val="left"/>
      <w:pPr>
        <w:ind w:left="1296" w:hanging="1296"/>
      </w:pPr>
      <w:rPr>
        <w:rFonts w:hint="default" w:ascii="宋体" w:hAnsi="宋体" w:eastAsia="宋体" w:cs="宋体"/>
      </w:rPr>
    </w:lvl>
    <w:lvl w:ilvl="7">
      <w:start w:val="1"/>
      <w:numFmt w:val="decimal"/>
      <w:pStyle w:val="8"/>
      <w:lvlText w:val="%1.%2.%3.%4.%5.%6.%7.%8"/>
      <w:lvlJc w:val="left"/>
      <w:pPr>
        <w:ind w:left="1440" w:hanging="1440"/>
      </w:pPr>
      <w:rPr>
        <w:rFonts w:hint="default" w:ascii="宋体" w:hAnsi="宋体" w:eastAsia="宋体" w:cs="宋体"/>
      </w:rPr>
    </w:lvl>
    <w:lvl w:ilvl="8">
      <w:start w:val="1"/>
      <w:numFmt w:val="decimal"/>
      <w:pStyle w:val="9"/>
      <w:lvlText w:val="%1.%2.%3.%4.%5.%6.%7.%8.%9"/>
      <w:lvlJc w:val="left"/>
      <w:pPr>
        <w:ind w:left="1584" w:hanging="1584"/>
      </w:pPr>
      <w:rPr>
        <w:rFonts w:hint="default" w:ascii="宋体" w:hAnsi="宋体" w:eastAsia="宋体" w:cs="宋体"/>
      </w:rPr>
    </w:lvl>
  </w:abstractNum>
  <w:abstractNum w:abstractNumId="7" w15:restartNumberingAfterBreak="0">
    <w:nsid w:val="25376C5A"/>
    <w:multiLevelType w:val="hybridMultilevel"/>
    <w:tmpl w:val="DF647C0E"/>
    <w:lvl w:ilvl="0" w:tplc="9AB82920">
      <w:start w:val="5"/>
      <w:numFmt w:val="decimal"/>
      <w:lvlText w:val="%1"/>
      <w:lvlJc w:val="left"/>
      <w:pPr>
        <w:ind w:left="360" w:hanging="360"/>
      </w:pPr>
      <w:rPr>
        <w:rFonts w:hint="default" w:ascii="宋体" w:hAnsi="宋体" w:eastAsia="宋体" w:cs="宋体"/>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F3F39FE"/>
    <w:multiLevelType w:val="hybridMultilevel"/>
    <w:tmpl w:val="1D8035DC"/>
    <w:lvl w:ilvl="0" w:tplc="FE7458D4">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3294A5A"/>
    <w:multiLevelType w:val="hybridMultilevel"/>
    <w:tmpl w:val="D6F86318"/>
    <w:lvl w:ilvl="0" w:tplc="0504ED22">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D1724F7"/>
    <w:multiLevelType w:val="hybridMultilevel"/>
    <w:tmpl w:val="38B25A2C"/>
    <w:lvl w:ilvl="0" w:tplc="6CFA0F4C">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511E3A15"/>
    <w:multiLevelType w:val="hybridMultilevel"/>
    <w:tmpl w:val="94FE716C"/>
    <w:lvl w:ilvl="0" w:tplc="BB3A3018">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5A4A1DC9"/>
    <w:multiLevelType w:val="hybridMultilevel"/>
    <w:tmpl w:val="22F47766"/>
    <w:lvl w:ilvl="0" w:tplc="19B48822">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5F175213"/>
    <w:multiLevelType w:val="multilevel"/>
    <w:tmpl w:val="100C001D"/>
    <w:styleLink w:val="SGS"/>
    <w:lvl w:ilvl="0">
      <w:start w:val="1"/>
      <w:numFmt w:val="bullet"/>
      <w:lvlText w:val="■"/>
      <w:lvlJc w:val="left"/>
      <w:pPr>
        <w:ind w:left="360" w:hanging="360"/>
      </w:pPr>
      <w:rPr>
        <w:rFonts w:ascii="宋体" w:hAnsi="宋体" w:hint="default" w:eastAsia="宋体" w:cs="宋体"/>
        <w:color w:val="FF9900"/>
      </w:rPr>
    </w:lvl>
    <w:lvl w:ilvl="1">
      <w:start w:val="1"/>
      <w:numFmt w:val="bullet"/>
      <w:lvlText w:val="■"/>
      <w:lvlJc w:val="left"/>
      <w:pPr>
        <w:ind w:left="720" w:hanging="360"/>
      </w:pPr>
      <w:rPr>
        <w:rFonts w:ascii="宋体" w:hAnsi="宋体" w:hint="default" w:eastAsia="宋体" w:cs="宋体"/>
        <w:color w:val="FF9900"/>
        <w:sz w:val="16"/>
      </w:rPr>
    </w:lvl>
    <w:lvl w:ilvl="2">
      <w:start w:val="1"/>
      <w:numFmt w:val="bullet"/>
      <w:lvlText w:val="•"/>
      <w:lvlJc w:val="left"/>
      <w:pPr>
        <w:ind w:left="1080" w:hanging="360"/>
      </w:pPr>
      <w:rPr>
        <w:rFonts w:ascii="宋体" w:hAnsi="宋体" w:hint="default" w:eastAsia="宋体" w:cs="宋体"/>
        <w:color w:val="000000" w:themeColor="text1"/>
      </w:rPr>
    </w:lvl>
    <w:lvl w:ilvl="3">
      <w:start w:val="1"/>
      <w:numFmt w:val="bullet"/>
      <w:lvlText w:val="▪"/>
      <w:lvlJc w:val="left"/>
      <w:pPr>
        <w:ind w:left="1440" w:hanging="360"/>
      </w:pPr>
      <w:rPr>
        <w:rFonts w:ascii="宋体" w:hAnsi="宋体" w:hint="default" w:eastAsia="宋体" w:cs="宋体"/>
        <w:color w:val="000000" w:themeColor="text1"/>
      </w:rPr>
    </w:lvl>
    <w:lvl w:ilvl="4">
      <w:start w:val="1"/>
      <w:numFmt w:val="bullet"/>
      <w:lvlText w:val="-"/>
      <w:lvlJc w:val="left"/>
      <w:pPr>
        <w:ind w:left="1800" w:hanging="360"/>
      </w:pPr>
      <w:rPr>
        <w:rFonts w:ascii="宋体" w:hAnsi="宋体" w:hint="default" w:eastAsia="宋体" w:cs="宋体"/>
        <w:color w:val="000000" w:themeColor="text1"/>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10C4F32"/>
    <w:multiLevelType w:val="hybridMultilevel"/>
    <w:tmpl w:val="84508CAC"/>
    <w:lvl w:ilvl="0" w:tplc="D5FE2826">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38C5117"/>
    <w:multiLevelType w:val="multilevel"/>
    <w:tmpl w:val="100C001D"/>
    <w:styleLink w:val="Style1"/>
    <w:lvl w:ilvl="0">
      <w:start w:val="1"/>
      <w:numFmt w:val="bullet"/>
      <w:lvlText w:val="■"/>
      <w:lvlJc w:val="left"/>
      <w:pPr>
        <w:ind w:left="360" w:hanging="360"/>
      </w:pPr>
      <w:rPr>
        <w:rFonts w:ascii="宋体" w:hAnsi="宋体" w:hint="default" w:eastAsia="宋体" w:cs="宋体"/>
        <w:color w:val="FF9900"/>
      </w:rPr>
    </w:lvl>
    <w:lvl w:ilvl="1">
      <w:start w:val="1"/>
      <w:numFmt w:val="bullet"/>
      <w:lvlText w:val="■"/>
      <w:lvlJc w:val="left"/>
      <w:pPr>
        <w:ind w:left="720" w:hanging="360"/>
      </w:pPr>
      <w:rPr>
        <w:rFonts w:ascii="宋体" w:hAnsi="宋体" w:hint="default" w:eastAsia="宋体" w:cs="宋体"/>
        <w:color w:val="FF9900"/>
        <w:sz w:val="16"/>
      </w:rPr>
    </w:lvl>
    <w:lvl w:ilvl="2">
      <w:start w:val="1"/>
      <w:numFmt w:val="bullet"/>
      <w:lvlText w:val="•"/>
      <w:lvlJc w:val="left"/>
      <w:pPr>
        <w:ind w:left="1080" w:hanging="360"/>
      </w:pPr>
      <w:rPr>
        <w:rFonts w:ascii="宋体" w:hAnsi="宋体" w:hint="default" w:eastAsia="宋体" w:cs="宋体"/>
        <w:color w:val="000000" w:themeColor="text1"/>
      </w:rPr>
    </w:lvl>
    <w:lvl w:ilvl="3">
      <w:start w:val="1"/>
      <w:numFmt w:val="bullet"/>
      <w:lvlText w:val="▪"/>
      <w:lvlJc w:val="left"/>
      <w:pPr>
        <w:ind w:left="1440" w:hanging="360"/>
      </w:pPr>
      <w:rPr>
        <w:rFonts w:ascii="宋体" w:hAnsi="宋体" w:hint="default" w:eastAsia="宋体" w:cs="宋体"/>
        <w:color w:val="000000" w:themeColor="text1"/>
      </w:rPr>
    </w:lvl>
    <w:lvl w:ilvl="4">
      <w:start w:val="1"/>
      <w:numFmt w:val="bullet"/>
      <w:lvlText w:val="-"/>
      <w:lvlJc w:val="left"/>
      <w:pPr>
        <w:ind w:left="1800" w:hanging="360"/>
      </w:pPr>
      <w:rPr>
        <w:rFonts w:ascii="宋体" w:hAnsi="宋体" w:hint="default" w:eastAsia="宋体" w:cs="宋体"/>
        <w:color w:val="000000" w:themeColor="text1"/>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827002F"/>
    <w:multiLevelType w:val="hybridMultilevel"/>
    <w:tmpl w:val="82C666C2"/>
    <w:lvl w:ilvl="0" w:tplc="4A143A22">
      <w:start w:val="2"/>
      <w:numFmt w:val="decimal"/>
      <w:lvlText w:val="%1"/>
      <w:lvlJc w:val="left"/>
      <w:pPr>
        <w:ind w:left="720" w:hanging="360"/>
      </w:pPr>
      <w:rPr>
        <w:rFonts w:hint="default" w:ascii="宋体" w:hAnsi="宋体" w:eastAsia="宋体" w:cs="宋体"/>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1E195A"/>
    <w:multiLevelType w:val="hybridMultilevel"/>
    <w:tmpl w:val="3356B02C"/>
    <w:lvl w:ilvl="0" w:tplc="50F8C110">
      <w:start w:val="5"/>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70D15105"/>
    <w:multiLevelType w:val="hybridMultilevel"/>
    <w:tmpl w:val="79F64A5A"/>
    <w:lvl w:ilvl="0" w:tplc="D5FA7D64">
      <w:start w:val="1"/>
      <w:numFmt w:val="bullet"/>
      <w:pStyle w:val="List1"/>
      <w:lvlText w:val=""/>
      <w:lvlJc w:val="left"/>
      <w:pPr>
        <w:ind w:left="720" w:hanging="360"/>
      </w:pPr>
      <w:rPr>
        <w:rFonts w:ascii="Symbol" w:hAnsi="Symbol" w:hint="default" w:eastAsia="Symbol" w:cs="Symbol"/>
      </w:rPr>
    </w:lvl>
    <w:lvl w:ilvl="1" w:tplc="08090003" w:tentative="1">
      <w:start w:val="1"/>
      <w:numFmt w:val="bullet"/>
      <w:lvlText w:val="o"/>
      <w:lvlJc w:val="left"/>
      <w:pPr>
        <w:ind w:left="1440" w:hanging="360"/>
      </w:pPr>
      <w:rPr>
        <w:rFonts w:ascii="宋体" w:hAnsi="宋体" w:cs="宋体" w:hint="default" w:eastAsia="宋体"/>
      </w:rPr>
    </w:lvl>
    <w:lvl w:ilvl="2" w:tplc="08090005" w:tentative="1">
      <w:start w:val="1"/>
      <w:numFmt w:val="bullet"/>
      <w:lvlText w:val=""/>
      <w:lvlJc w:val="left"/>
      <w:pPr>
        <w:ind w:left="2160" w:hanging="360"/>
      </w:pPr>
      <w:rPr>
        <w:rFonts w:ascii="Wingdings" w:hAnsi="Wingdings" w:hint="default" w:eastAsia="Wingdings" w:cs="Wingdings"/>
      </w:rPr>
    </w:lvl>
    <w:lvl w:ilvl="3" w:tplc="08090001" w:tentative="1">
      <w:start w:val="1"/>
      <w:numFmt w:val="bullet"/>
      <w:lvlText w:val=""/>
      <w:lvlJc w:val="left"/>
      <w:pPr>
        <w:ind w:left="2880" w:hanging="360"/>
      </w:pPr>
      <w:rPr>
        <w:rFonts w:ascii="Symbol" w:hAnsi="Symbol" w:hint="default" w:eastAsia="Symbol" w:cs="Symbol"/>
      </w:rPr>
    </w:lvl>
    <w:lvl w:ilvl="4" w:tplc="08090003" w:tentative="1">
      <w:start w:val="1"/>
      <w:numFmt w:val="bullet"/>
      <w:lvlText w:val="o"/>
      <w:lvlJc w:val="left"/>
      <w:pPr>
        <w:ind w:left="3600" w:hanging="360"/>
      </w:pPr>
      <w:rPr>
        <w:rFonts w:ascii="宋体" w:hAnsi="宋体" w:cs="宋体" w:hint="default" w:eastAsia="宋体"/>
      </w:rPr>
    </w:lvl>
    <w:lvl w:ilvl="5" w:tplc="08090005" w:tentative="1">
      <w:start w:val="1"/>
      <w:numFmt w:val="bullet"/>
      <w:lvlText w:val=""/>
      <w:lvlJc w:val="left"/>
      <w:pPr>
        <w:ind w:left="4320" w:hanging="360"/>
      </w:pPr>
      <w:rPr>
        <w:rFonts w:ascii="Wingdings" w:hAnsi="Wingdings" w:hint="default" w:eastAsia="Wingdings" w:cs="Wingdings"/>
      </w:rPr>
    </w:lvl>
    <w:lvl w:ilvl="6" w:tplc="08090001" w:tentative="1">
      <w:start w:val="1"/>
      <w:numFmt w:val="bullet"/>
      <w:lvlText w:val=""/>
      <w:lvlJc w:val="left"/>
      <w:pPr>
        <w:ind w:left="5040" w:hanging="360"/>
      </w:pPr>
      <w:rPr>
        <w:rFonts w:ascii="Symbol" w:hAnsi="Symbol" w:hint="default" w:eastAsia="Symbol" w:cs="Symbol"/>
      </w:rPr>
    </w:lvl>
    <w:lvl w:ilvl="7" w:tplc="08090003" w:tentative="1">
      <w:start w:val="1"/>
      <w:numFmt w:val="bullet"/>
      <w:lvlText w:val="o"/>
      <w:lvlJc w:val="left"/>
      <w:pPr>
        <w:ind w:left="5760" w:hanging="360"/>
      </w:pPr>
      <w:rPr>
        <w:rFonts w:ascii="宋体" w:hAnsi="宋体" w:cs="宋体" w:hint="default" w:eastAsia="宋体"/>
      </w:rPr>
    </w:lvl>
    <w:lvl w:ilvl="8" w:tplc="08090005" w:tentative="1">
      <w:start w:val="1"/>
      <w:numFmt w:val="bullet"/>
      <w:lvlText w:val=""/>
      <w:lvlJc w:val="left"/>
      <w:pPr>
        <w:ind w:left="6480" w:hanging="360"/>
      </w:pPr>
      <w:rPr>
        <w:rFonts w:ascii="Wingdings" w:hAnsi="Wingdings" w:hint="default" w:eastAsia="Wingdings" w:cs="Wingdings"/>
      </w:rPr>
    </w:lvl>
  </w:abstractNum>
  <w:abstractNum w:abstractNumId="19" w15:restartNumberingAfterBreak="0">
    <w:nsid w:val="76167438"/>
    <w:multiLevelType w:val="hybridMultilevel"/>
    <w:tmpl w:val="13D400FE"/>
    <w:lvl w:ilvl="0" w:tplc="C6E8660A">
      <w:start w:val="3"/>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7D85D9B"/>
    <w:multiLevelType w:val="hybridMultilevel"/>
    <w:tmpl w:val="6826FB3C"/>
    <w:lvl w:ilvl="0" w:tplc="65781C92">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79144477"/>
    <w:multiLevelType w:val="hybridMultilevel"/>
    <w:tmpl w:val="6CEC001C"/>
    <w:lvl w:ilvl="0" w:tplc="BACEED9E">
      <w:start w:val="4"/>
      <w:numFmt w:val="decimal"/>
      <w:lvlText w:val="%1"/>
      <w:lvlJc w:val="left"/>
      <w:pPr>
        <w:ind w:left="360" w:hanging="360"/>
      </w:pPr>
      <w:rPr>
        <w:rFonts w:hint="default" w:ascii="宋体" w:hAnsi="宋体" w:eastAsia="宋体" w:cs="宋体"/>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62343580">
    <w:abstractNumId w:val="6"/>
  </w:num>
  <w:num w:numId="2" w16cid:durableId="2062556140">
    <w:abstractNumId w:val="18"/>
  </w:num>
  <w:num w:numId="3" w16cid:durableId="720207222">
    <w:abstractNumId w:val="5"/>
  </w:num>
  <w:num w:numId="4" w16cid:durableId="624040483">
    <w:abstractNumId w:val="15"/>
  </w:num>
  <w:num w:numId="5" w16cid:durableId="1367104030">
    <w:abstractNumId w:val="13"/>
  </w:num>
  <w:num w:numId="6" w16cid:durableId="1558011995">
    <w:abstractNumId w:val="5"/>
  </w:num>
  <w:num w:numId="7" w16cid:durableId="1477408203">
    <w:abstractNumId w:val="18"/>
  </w:num>
  <w:num w:numId="8" w16cid:durableId="1869486266">
    <w:abstractNumId w:val="6"/>
  </w:num>
  <w:num w:numId="9" w16cid:durableId="332882075">
    <w:abstractNumId w:val="6"/>
  </w:num>
  <w:num w:numId="10" w16cid:durableId="541752175">
    <w:abstractNumId w:val="6"/>
  </w:num>
  <w:num w:numId="11" w16cid:durableId="59602614">
    <w:abstractNumId w:val="6"/>
  </w:num>
  <w:num w:numId="12" w16cid:durableId="1738360202">
    <w:abstractNumId w:val="6"/>
  </w:num>
  <w:num w:numId="13" w16cid:durableId="1886453761">
    <w:abstractNumId w:val="6"/>
  </w:num>
  <w:num w:numId="14" w16cid:durableId="1813478220">
    <w:abstractNumId w:val="6"/>
  </w:num>
  <w:num w:numId="15" w16cid:durableId="1392078643">
    <w:abstractNumId w:val="6"/>
  </w:num>
  <w:num w:numId="16" w16cid:durableId="85620886">
    <w:abstractNumId w:val="6"/>
  </w:num>
  <w:num w:numId="17" w16cid:durableId="292178531">
    <w:abstractNumId w:val="6"/>
  </w:num>
  <w:num w:numId="18" w16cid:durableId="547960984">
    <w:abstractNumId w:val="18"/>
  </w:num>
  <w:num w:numId="19" w16cid:durableId="262153012">
    <w:abstractNumId w:val="5"/>
  </w:num>
  <w:num w:numId="20" w16cid:durableId="198930355">
    <w:abstractNumId w:val="6"/>
  </w:num>
  <w:num w:numId="21" w16cid:durableId="2107114912">
    <w:abstractNumId w:val="15"/>
  </w:num>
  <w:num w:numId="22" w16cid:durableId="2131387687">
    <w:abstractNumId w:val="13"/>
  </w:num>
  <w:num w:numId="23" w16cid:durableId="617223694">
    <w:abstractNumId w:val="6"/>
  </w:num>
  <w:num w:numId="24" w16cid:durableId="308174482">
    <w:abstractNumId w:val="11"/>
  </w:num>
  <w:num w:numId="25" w16cid:durableId="1829781595">
    <w:abstractNumId w:val="4"/>
  </w:num>
  <w:num w:numId="26" w16cid:durableId="2021006674">
    <w:abstractNumId w:val="12"/>
  </w:num>
  <w:num w:numId="27" w16cid:durableId="955986422">
    <w:abstractNumId w:val="14"/>
  </w:num>
  <w:num w:numId="28" w16cid:durableId="429206661">
    <w:abstractNumId w:val="17"/>
  </w:num>
  <w:num w:numId="29" w16cid:durableId="1451507811">
    <w:abstractNumId w:val="7"/>
  </w:num>
  <w:num w:numId="30" w16cid:durableId="1811554898">
    <w:abstractNumId w:val="1"/>
  </w:num>
  <w:num w:numId="31" w16cid:durableId="789667805">
    <w:abstractNumId w:val="19"/>
  </w:num>
  <w:num w:numId="32" w16cid:durableId="931353020">
    <w:abstractNumId w:val="6"/>
  </w:num>
  <w:num w:numId="33" w16cid:durableId="1117529531">
    <w:abstractNumId w:val="6"/>
  </w:num>
  <w:num w:numId="34" w16cid:durableId="150172186">
    <w:abstractNumId w:val="6"/>
  </w:num>
  <w:num w:numId="35" w16cid:durableId="2052875427">
    <w:abstractNumId w:val="6"/>
  </w:num>
  <w:num w:numId="36" w16cid:durableId="195625374">
    <w:abstractNumId w:val="6"/>
  </w:num>
  <w:num w:numId="37" w16cid:durableId="2134783426">
    <w:abstractNumId w:val="0"/>
  </w:num>
  <w:num w:numId="38" w16cid:durableId="1803503662">
    <w:abstractNumId w:val="6"/>
  </w:num>
  <w:num w:numId="39" w16cid:durableId="641812255">
    <w:abstractNumId w:val="10"/>
  </w:num>
  <w:num w:numId="40" w16cid:durableId="1249341533">
    <w:abstractNumId w:val="9"/>
  </w:num>
  <w:num w:numId="41" w16cid:durableId="1900240095">
    <w:abstractNumId w:val="20"/>
  </w:num>
  <w:num w:numId="42" w16cid:durableId="1827277005">
    <w:abstractNumId w:val="21"/>
  </w:num>
  <w:num w:numId="43" w16cid:durableId="1036351446">
    <w:abstractNumId w:val="3"/>
  </w:num>
  <w:num w:numId="44" w16cid:durableId="1474062415">
    <w:abstractNumId w:val="8"/>
  </w:num>
  <w:num w:numId="45" w16cid:durableId="17701299">
    <w:abstractNumId w:val="16"/>
  </w:num>
  <w:num w:numId="46" w16cid:durableId="319504811">
    <w:abstractNumId w:val="6"/>
  </w:num>
  <w:num w:numId="47" w16cid:durableId="333266917">
    <w:abstractNumId w:val="6"/>
  </w:num>
  <w:num w:numId="48" w16cid:durableId="175211997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E9F"/>
    <w:rsid w:val="0001524D"/>
    <w:rsid w:val="0005001B"/>
    <w:rsid w:val="00051572"/>
    <w:rsid w:val="000551F0"/>
    <w:rsid w:val="00063B07"/>
    <w:rsid w:val="000723E1"/>
    <w:rsid w:val="00072972"/>
    <w:rsid w:val="000732FD"/>
    <w:rsid w:val="00075016"/>
    <w:rsid w:val="00080335"/>
    <w:rsid w:val="00086974"/>
    <w:rsid w:val="000944A8"/>
    <w:rsid w:val="0009785F"/>
    <w:rsid w:val="000B0FED"/>
    <w:rsid w:val="000B2B7F"/>
    <w:rsid w:val="000B4456"/>
    <w:rsid w:val="000B50AA"/>
    <w:rsid w:val="000B5B1E"/>
    <w:rsid w:val="000B5F22"/>
    <w:rsid w:val="000C4601"/>
    <w:rsid w:val="000D4E4F"/>
    <w:rsid w:val="001000FA"/>
    <w:rsid w:val="00124F98"/>
    <w:rsid w:val="001404F4"/>
    <w:rsid w:val="00146D57"/>
    <w:rsid w:val="00155265"/>
    <w:rsid w:val="0017011F"/>
    <w:rsid w:val="00174F75"/>
    <w:rsid w:val="00175800"/>
    <w:rsid w:val="0019769E"/>
    <w:rsid w:val="001B0020"/>
    <w:rsid w:val="001B03D9"/>
    <w:rsid w:val="001B189F"/>
    <w:rsid w:val="001B6633"/>
    <w:rsid w:val="001B702B"/>
    <w:rsid w:val="001B7436"/>
    <w:rsid w:val="001C685E"/>
    <w:rsid w:val="001D0B06"/>
    <w:rsid w:val="001D49ED"/>
    <w:rsid w:val="001E3D3B"/>
    <w:rsid w:val="00205687"/>
    <w:rsid w:val="00206087"/>
    <w:rsid w:val="00216EC5"/>
    <w:rsid w:val="00223E52"/>
    <w:rsid w:val="00226ED0"/>
    <w:rsid w:val="00233BF0"/>
    <w:rsid w:val="00237DAE"/>
    <w:rsid w:val="00241F99"/>
    <w:rsid w:val="00242237"/>
    <w:rsid w:val="00256A14"/>
    <w:rsid w:val="00267266"/>
    <w:rsid w:val="00274058"/>
    <w:rsid w:val="00276085"/>
    <w:rsid w:val="002874F5"/>
    <w:rsid w:val="00291BE2"/>
    <w:rsid w:val="002A66F6"/>
    <w:rsid w:val="002A6E6E"/>
    <w:rsid w:val="002C0321"/>
    <w:rsid w:val="002C2F8E"/>
    <w:rsid w:val="002C6BB9"/>
    <w:rsid w:val="002D6D5B"/>
    <w:rsid w:val="002E0A86"/>
    <w:rsid w:val="00307AF3"/>
    <w:rsid w:val="003108BB"/>
    <w:rsid w:val="003133DC"/>
    <w:rsid w:val="0032700C"/>
    <w:rsid w:val="0033744B"/>
    <w:rsid w:val="00347880"/>
    <w:rsid w:val="00356A35"/>
    <w:rsid w:val="00362537"/>
    <w:rsid w:val="00366301"/>
    <w:rsid w:val="003870CE"/>
    <w:rsid w:val="00392802"/>
    <w:rsid w:val="00396417"/>
    <w:rsid w:val="003D383C"/>
    <w:rsid w:val="003E236B"/>
    <w:rsid w:val="003E4636"/>
    <w:rsid w:val="003F1603"/>
    <w:rsid w:val="003F5070"/>
    <w:rsid w:val="0040190E"/>
    <w:rsid w:val="0040795B"/>
    <w:rsid w:val="004107E1"/>
    <w:rsid w:val="004131DE"/>
    <w:rsid w:val="00414E5D"/>
    <w:rsid w:val="00421688"/>
    <w:rsid w:val="00437072"/>
    <w:rsid w:val="00437399"/>
    <w:rsid w:val="004408A2"/>
    <w:rsid w:val="004449B6"/>
    <w:rsid w:val="004504A4"/>
    <w:rsid w:val="00464CCD"/>
    <w:rsid w:val="00473D8E"/>
    <w:rsid w:val="00474F6D"/>
    <w:rsid w:val="00491008"/>
    <w:rsid w:val="004A7626"/>
    <w:rsid w:val="004B7A3A"/>
    <w:rsid w:val="004C40AF"/>
    <w:rsid w:val="004D4292"/>
    <w:rsid w:val="004E2C22"/>
    <w:rsid w:val="004F045E"/>
    <w:rsid w:val="004F14A2"/>
    <w:rsid w:val="00500259"/>
    <w:rsid w:val="0050261E"/>
    <w:rsid w:val="00513219"/>
    <w:rsid w:val="0051487F"/>
    <w:rsid w:val="00520378"/>
    <w:rsid w:val="00523446"/>
    <w:rsid w:val="00533155"/>
    <w:rsid w:val="005368E3"/>
    <w:rsid w:val="0056178F"/>
    <w:rsid w:val="005666AB"/>
    <w:rsid w:val="00567FE1"/>
    <w:rsid w:val="00577692"/>
    <w:rsid w:val="00587723"/>
    <w:rsid w:val="0059162E"/>
    <w:rsid w:val="005958A2"/>
    <w:rsid w:val="005A60A7"/>
    <w:rsid w:val="005B0BB7"/>
    <w:rsid w:val="005C105C"/>
    <w:rsid w:val="005C5B5D"/>
    <w:rsid w:val="005D50D1"/>
    <w:rsid w:val="005D7FA0"/>
    <w:rsid w:val="005F0704"/>
    <w:rsid w:val="005F56BF"/>
    <w:rsid w:val="00607EA5"/>
    <w:rsid w:val="006108C0"/>
    <w:rsid w:val="006319E2"/>
    <w:rsid w:val="00642B0C"/>
    <w:rsid w:val="00651DFA"/>
    <w:rsid w:val="00671B99"/>
    <w:rsid w:val="00675BF6"/>
    <w:rsid w:val="00677767"/>
    <w:rsid w:val="00692D7D"/>
    <w:rsid w:val="00694756"/>
    <w:rsid w:val="006B382B"/>
    <w:rsid w:val="006B5D43"/>
    <w:rsid w:val="006C3F59"/>
    <w:rsid w:val="006D555B"/>
    <w:rsid w:val="006E20EC"/>
    <w:rsid w:val="006F0E5A"/>
    <w:rsid w:val="00700C3D"/>
    <w:rsid w:val="007027FC"/>
    <w:rsid w:val="007047B5"/>
    <w:rsid w:val="007064E9"/>
    <w:rsid w:val="00722DC1"/>
    <w:rsid w:val="00727447"/>
    <w:rsid w:val="007329E5"/>
    <w:rsid w:val="0073564A"/>
    <w:rsid w:val="00742BA6"/>
    <w:rsid w:val="00753525"/>
    <w:rsid w:val="007608F3"/>
    <w:rsid w:val="00761864"/>
    <w:rsid w:val="007651A9"/>
    <w:rsid w:val="00771B86"/>
    <w:rsid w:val="00781BFD"/>
    <w:rsid w:val="0078330F"/>
    <w:rsid w:val="00784215"/>
    <w:rsid w:val="00796B72"/>
    <w:rsid w:val="007A5782"/>
    <w:rsid w:val="007A71F3"/>
    <w:rsid w:val="007A7759"/>
    <w:rsid w:val="007B3093"/>
    <w:rsid w:val="007B6F35"/>
    <w:rsid w:val="007C22EC"/>
    <w:rsid w:val="007D4FB0"/>
    <w:rsid w:val="007D5879"/>
    <w:rsid w:val="007D5C5A"/>
    <w:rsid w:val="007E35A4"/>
    <w:rsid w:val="007F159A"/>
    <w:rsid w:val="007F40E0"/>
    <w:rsid w:val="0081311A"/>
    <w:rsid w:val="0081368A"/>
    <w:rsid w:val="00820DE8"/>
    <w:rsid w:val="00823EFC"/>
    <w:rsid w:val="0082528E"/>
    <w:rsid w:val="00837F04"/>
    <w:rsid w:val="00841C84"/>
    <w:rsid w:val="00857A30"/>
    <w:rsid w:val="008722C9"/>
    <w:rsid w:val="008822D1"/>
    <w:rsid w:val="00883640"/>
    <w:rsid w:val="008940F8"/>
    <w:rsid w:val="008A16E4"/>
    <w:rsid w:val="008A4C9E"/>
    <w:rsid w:val="008C0E63"/>
    <w:rsid w:val="008D0EB8"/>
    <w:rsid w:val="008D1150"/>
    <w:rsid w:val="00901E69"/>
    <w:rsid w:val="009054FC"/>
    <w:rsid w:val="00906082"/>
    <w:rsid w:val="009157DF"/>
    <w:rsid w:val="00917681"/>
    <w:rsid w:val="00924507"/>
    <w:rsid w:val="00934D61"/>
    <w:rsid w:val="00947615"/>
    <w:rsid w:val="00960FEB"/>
    <w:rsid w:val="00974500"/>
    <w:rsid w:val="009772B3"/>
    <w:rsid w:val="00981971"/>
    <w:rsid w:val="00983820"/>
    <w:rsid w:val="00986573"/>
    <w:rsid w:val="00987E28"/>
    <w:rsid w:val="009A6D8E"/>
    <w:rsid w:val="009A75A5"/>
    <w:rsid w:val="009B2ACF"/>
    <w:rsid w:val="009B3D99"/>
    <w:rsid w:val="009B4E71"/>
    <w:rsid w:val="009C49B5"/>
    <w:rsid w:val="009C6EDF"/>
    <w:rsid w:val="009C7993"/>
    <w:rsid w:val="009C7BD8"/>
    <w:rsid w:val="009D2393"/>
    <w:rsid w:val="009D3951"/>
    <w:rsid w:val="009E5DC0"/>
    <w:rsid w:val="009E6DE7"/>
    <w:rsid w:val="009F386F"/>
    <w:rsid w:val="009F4A7D"/>
    <w:rsid w:val="00A13E9F"/>
    <w:rsid w:val="00A1453A"/>
    <w:rsid w:val="00A154BE"/>
    <w:rsid w:val="00A203B4"/>
    <w:rsid w:val="00A252D0"/>
    <w:rsid w:val="00A25AE2"/>
    <w:rsid w:val="00A25C83"/>
    <w:rsid w:val="00A326B6"/>
    <w:rsid w:val="00A36FA5"/>
    <w:rsid w:val="00A402D9"/>
    <w:rsid w:val="00A43B7D"/>
    <w:rsid w:val="00A56416"/>
    <w:rsid w:val="00A67582"/>
    <w:rsid w:val="00A9502E"/>
    <w:rsid w:val="00AB1178"/>
    <w:rsid w:val="00AB3B45"/>
    <w:rsid w:val="00AB684D"/>
    <w:rsid w:val="00AC22BB"/>
    <w:rsid w:val="00AE37DF"/>
    <w:rsid w:val="00AE5B9A"/>
    <w:rsid w:val="00AE71BA"/>
    <w:rsid w:val="00B05D00"/>
    <w:rsid w:val="00B11E98"/>
    <w:rsid w:val="00B201E3"/>
    <w:rsid w:val="00B208C7"/>
    <w:rsid w:val="00B34DFF"/>
    <w:rsid w:val="00B36452"/>
    <w:rsid w:val="00B403C5"/>
    <w:rsid w:val="00B40C4D"/>
    <w:rsid w:val="00B468B7"/>
    <w:rsid w:val="00B4696C"/>
    <w:rsid w:val="00B60A2C"/>
    <w:rsid w:val="00B63048"/>
    <w:rsid w:val="00B657B6"/>
    <w:rsid w:val="00B81FD7"/>
    <w:rsid w:val="00B865E8"/>
    <w:rsid w:val="00B903C3"/>
    <w:rsid w:val="00B9287D"/>
    <w:rsid w:val="00B95C7B"/>
    <w:rsid w:val="00BB5FC9"/>
    <w:rsid w:val="00BC686C"/>
    <w:rsid w:val="00BE21A1"/>
    <w:rsid w:val="00BF7273"/>
    <w:rsid w:val="00C060A3"/>
    <w:rsid w:val="00C101E4"/>
    <w:rsid w:val="00C174A5"/>
    <w:rsid w:val="00C17C10"/>
    <w:rsid w:val="00C26065"/>
    <w:rsid w:val="00C4049A"/>
    <w:rsid w:val="00C460E8"/>
    <w:rsid w:val="00C557FB"/>
    <w:rsid w:val="00C5651B"/>
    <w:rsid w:val="00C57D61"/>
    <w:rsid w:val="00C72CF6"/>
    <w:rsid w:val="00C774F1"/>
    <w:rsid w:val="00C8150C"/>
    <w:rsid w:val="00C91D6E"/>
    <w:rsid w:val="00C95045"/>
    <w:rsid w:val="00CA2053"/>
    <w:rsid w:val="00CB67F2"/>
    <w:rsid w:val="00CD1ED8"/>
    <w:rsid w:val="00CD4ED3"/>
    <w:rsid w:val="00CD518D"/>
    <w:rsid w:val="00CE72B0"/>
    <w:rsid w:val="00CF0145"/>
    <w:rsid w:val="00CF0D56"/>
    <w:rsid w:val="00CF34C0"/>
    <w:rsid w:val="00D14A10"/>
    <w:rsid w:val="00D2744C"/>
    <w:rsid w:val="00D305B5"/>
    <w:rsid w:val="00D40467"/>
    <w:rsid w:val="00D46E54"/>
    <w:rsid w:val="00D531B5"/>
    <w:rsid w:val="00D67EE3"/>
    <w:rsid w:val="00D724D2"/>
    <w:rsid w:val="00D756B4"/>
    <w:rsid w:val="00D81DCA"/>
    <w:rsid w:val="00D93292"/>
    <w:rsid w:val="00D93CE4"/>
    <w:rsid w:val="00DA1E0F"/>
    <w:rsid w:val="00DA5AB0"/>
    <w:rsid w:val="00DB343A"/>
    <w:rsid w:val="00DB6449"/>
    <w:rsid w:val="00DC553D"/>
    <w:rsid w:val="00DD01FE"/>
    <w:rsid w:val="00DD15EB"/>
    <w:rsid w:val="00DF4307"/>
    <w:rsid w:val="00E00C8B"/>
    <w:rsid w:val="00E14A99"/>
    <w:rsid w:val="00E224AA"/>
    <w:rsid w:val="00E225A4"/>
    <w:rsid w:val="00E269F5"/>
    <w:rsid w:val="00E275AD"/>
    <w:rsid w:val="00E31893"/>
    <w:rsid w:val="00E46A0C"/>
    <w:rsid w:val="00E549AD"/>
    <w:rsid w:val="00E65166"/>
    <w:rsid w:val="00E77D4B"/>
    <w:rsid w:val="00E82E31"/>
    <w:rsid w:val="00E85C06"/>
    <w:rsid w:val="00EA28BE"/>
    <w:rsid w:val="00EA5B9F"/>
    <w:rsid w:val="00EB7065"/>
    <w:rsid w:val="00EC0772"/>
    <w:rsid w:val="00ED0730"/>
    <w:rsid w:val="00ED3B66"/>
    <w:rsid w:val="00ED6AAB"/>
    <w:rsid w:val="00EE20EB"/>
    <w:rsid w:val="00EE417A"/>
    <w:rsid w:val="00EE784A"/>
    <w:rsid w:val="00EF2EA4"/>
    <w:rsid w:val="00EF5714"/>
    <w:rsid w:val="00EF6D2E"/>
    <w:rsid w:val="00EF75F3"/>
    <w:rsid w:val="00F0162F"/>
    <w:rsid w:val="00F04B2F"/>
    <w:rsid w:val="00F14771"/>
    <w:rsid w:val="00F22C80"/>
    <w:rsid w:val="00F30A01"/>
    <w:rsid w:val="00F42356"/>
    <w:rsid w:val="00F507A6"/>
    <w:rsid w:val="00F57112"/>
    <w:rsid w:val="00F673EB"/>
    <w:rsid w:val="00F73806"/>
    <w:rsid w:val="00F7474D"/>
    <w:rsid w:val="00F75313"/>
    <w:rsid w:val="00F75EA8"/>
    <w:rsid w:val="00F81EAD"/>
    <w:rsid w:val="00F93CA7"/>
    <w:rsid w:val="00F93DE9"/>
    <w:rsid w:val="00FA32C1"/>
    <w:rsid w:val="00FA5983"/>
    <w:rsid w:val="00FA5B27"/>
    <w:rsid w:val="00FC2961"/>
    <w:rsid w:val="00FC34F9"/>
    <w:rsid w:val="00FC71F7"/>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EF77E"/>
  <w15:chartTrackingRefBased/>
  <w15:docId w15:val="{C3E6729A-3B69-4FD5-8010-3C93F2FE79A4}"/>
  <w:updateFields w:val="true"/>
  <w:hideSpellingErrors w:val="true"/>
  <w:hideGrammaticalErrors w:val="true"/>
  <w:saveSubsetFonts w:val="false"/>
  <w:embedSystemFonts w:val="false"/>
  <w:embedTrueType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宋体" w:hAnsi="宋体" w:cstheme="majorBidi" w:eastAsia="宋体" w:cs="宋体"/>
        <w:lang w:val="en-GB" w:eastAsia="zh-CN" w:bidi="ar-SA"/>
      </w:rPr>
    </w:rPrDefault>
    <w:pPrDefault>
      <w:pPr>
        <w:spacing w:before="120"/>
        <w:ind w:left="709" w:hanging="709"/>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2CF6"/>
    <w:pPr>
      <w:ind w:left="0" w:firstLine="0"/>
    </w:pPr>
    <w:rPr>
      <w:rFonts w:cs="宋体" w:ascii="宋体" w:hAnsi="宋体" w:eastAsia="宋体"/>
      <w:color w:val="222222"/>
      <w:sz w:val="21"/>
      <w:szCs w:val="24"/>
      <w:lang w:eastAsia="fr-FR"/>
    </w:rPr>
  </w:style>
  <w:style w:type="paragraph" w:styleId="1">
    <w:name w:val="heading 1"/>
    <w:basedOn w:val="a"/>
    <w:next w:val="a"/>
    <w:link w:val="10"/>
    <w:uiPriority w:val="9"/>
    <w:qFormat/>
    <w:rsid w:val="00B403C5"/>
    <w:pPr>
      <w:keepNext/>
      <w:numPr>
        <w:numId w:val="23"/>
      </w:numPr>
      <w:spacing w:before="360" w:after="120"/>
      <w:outlineLvl w:val="0"/>
    </w:pPr>
    <w:rPr>
      <w:rFonts w:cs="黑体" w:ascii="黑体" w:hAnsi="黑体" w:eastAsia="黑体"/>
      <w:b/>
      <w:caps/>
      <w:color w:val="FF6600"/>
      <w:spacing w:val="20"/>
    </w:rPr>
  </w:style>
  <w:style w:type="paragraph" w:styleId="2">
    <w:name w:val="heading 2"/>
    <w:basedOn w:val="a"/>
    <w:next w:val="a"/>
    <w:link w:val="20"/>
    <w:uiPriority w:val="9"/>
    <w:qFormat/>
    <w:rsid w:val="00B403C5"/>
    <w:pPr>
      <w:numPr>
        <w:ilvl w:val="1"/>
        <w:numId w:val="23"/>
      </w:numPr>
      <w:pBdr>
        <w:bottom w:val="single" w:sz="4" w:space="1" w:color="FF6600"/>
      </w:pBdr>
      <w:spacing w:before="240"/>
      <w:outlineLvl w:val="1"/>
    </w:pPr>
    <w:rPr>
      <w:rFonts w:cs="黑体" w:ascii="黑体" w:hAnsi="黑体" w:eastAsia="黑体"/>
      <w:b/>
      <w:iCs/>
      <w:smallCaps/>
      <w:color w:val="363636"/>
      <w:spacing w:val="15"/>
      <w:kern w:val="32"/>
      <w:sz w:val="22"/>
    </w:rPr>
  </w:style>
  <w:style w:type="paragraph" w:styleId="3">
    <w:name w:val="heading 3"/>
    <w:basedOn w:val="a"/>
    <w:next w:val="a"/>
    <w:link w:val="30"/>
    <w:uiPriority w:val="9"/>
    <w:qFormat/>
    <w:rsid w:val="00B403C5"/>
    <w:pPr>
      <w:keepNext/>
      <w:numPr>
        <w:ilvl w:val="2"/>
        <w:numId w:val="23"/>
      </w:numPr>
      <w:spacing w:before="240" w:after="60"/>
      <w:outlineLvl w:val="2"/>
    </w:pPr>
    <w:rPr>
      <w:rFonts w:cs="黑体" w:ascii="黑体" w:hAnsi="黑体" w:eastAsia="黑体"/>
      <w:b/>
      <w:bCs/>
      <w:smallCaps/>
      <w:color w:val="FF6600"/>
    </w:rPr>
  </w:style>
  <w:style w:type="paragraph" w:styleId="4">
    <w:name w:val="heading 4"/>
    <w:basedOn w:val="a"/>
    <w:next w:val="a"/>
    <w:link w:val="40"/>
    <w:uiPriority w:val="9"/>
    <w:qFormat/>
    <w:rsid w:val="00B403C5"/>
    <w:pPr>
      <w:keepNext/>
      <w:numPr>
        <w:ilvl w:val="3"/>
        <w:numId w:val="23"/>
      </w:numPr>
      <w:outlineLvl w:val="3"/>
    </w:pPr>
    <w:rPr>
      <w:rFonts w:cstheme="majorBidi" w:ascii="宋体" w:hAnsi="宋体" w:eastAsia="宋体" w:cs="宋体"/>
      <w:bCs/>
      <w:sz w:val="18"/>
      <w:szCs w:val="28"/>
      <w:lang w:eastAsia="en-US" w:bidi="en-US"/>
    </w:rPr>
  </w:style>
  <w:style w:type="paragraph" w:styleId="5">
    <w:name w:val="heading 5"/>
    <w:basedOn w:val="a"/>
    <w:next w:val="a"/>
    <w:link w:val="50"/>
    <w:uiPriority w:val="9"/>
    <w:qFormat/>
    <w:rsid w:val="00B403C5"/>
    <w:pPr>
      <w:keepNext/>
      <w:keepLines/>
      <w:numPr>
        <w:ilvl w:val="4"/>
        <w:numId w:val="23"/>
      </w:numPr>
      <w:outlineLvl w:val="4"/>
    </w:pPr>
    <w:rPr>
      <w:sz w:val="18"/>
      <w:szCs w:val="22"/>
    </w:rPr>
  </w:style>
  <w:style w:type="paragraph" w:styleId="6">
    <w:name w:val="heading 6"/>
    <w:basedOn w:val="a"/>
    <w:next w:val="a"/>
    <w:link w:val="60"/>
    <w:uiPriority w:val="9"/>
    <w:qFormat/>
    <w:rsid w:val="00B403C5"/>
    <w:pPr>
      <w:numPr>
        <w:ilvl w:val="5"/>
        <w:numId w:val="23"/>
      </w:numPr>
      <w:spacing w:before="240" w:after="60"/>
      <w:outlineLvl w:val="5"/>
    </w:pPr>
    <w:rPr>
      <w:bCs/>
      <w:sz w:val="18"/>
    </w:rPr>
  </w:style>
  <w:style w:type="paragraph" w:styleId="7">
    <w:name w:val="heading 7"/>
    <w:basedOn w:val="a"/>
    <w:next w:val="a"/>
    <w:link w:val="70"/>
    <w:uiPriority w:val="9"/>
    <w:qFormat/>
    <w:rsid w:val="00B403C5"/>
    <w:pPr>
      <w:numPr>
        <w:ilvl w:val="6"/>
        <w:numId w:val="23"/>
      </w:numPr>
      <w:spacing w:before="240" w:after="60"/>
      <w:outlineLvl w:val="6"/>
    </w:pPr>
    <w:rPr>
      <w:sz w:val="18"/>
    </w:rPr>
  </w:style>
  <w:style w:type="paragraph" w:styleId="8">
    <w:name w:val="heading 8"/>
    <w:basedOn w:val="a"/>
    <w:next w:val="a"/>
    <w:link w:val="80"/>
    <w:uiPriority w:val="9"/>
    <w:qFormat/>
    <w:rsid w:val="00B403C5"/>
    <w:pPr>
      <w:numPr>
        <w:ilvl w:val="7"/>
        <w:numId w:val="23"/>
      </w:numPr>
      <w:spacing w:before="240" w:after="60"/>
      <w:outlineLvl w:val="7"/>
    </w:pPr>
    <w:rPr>
      <w:iCs/>
      <w:sz w:val="18"/>
    </w:rPr>
  </w:style>
  <w:style w:type="paragraph" w:styleId="9">
    <w:name w:val="heading 9"/>
    <w:basedOn w:val="a"/>
    <w:next w:val="a"/>
    <w:link w:val="90"/>
    <w:uiPriority w:val="9"/>
    <w:qFormat/>
    <w:rsid w:val="00B403C5"/>
    <w:pPr>
      <w:numPr>
        <w:ilvl w:val="8"/>
        <w:numId w:val="23"/>
      </w:numPr>
      <w:spacing w:before="240" w:after="60"/>
      <w:outlineLvl w:val="8"/>
    </w:pPr>
    <w:rPr>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403C5"/>
    <w:rPr>
      <w:rFonts w:cs="黑体" w:ascii="黑体" w:hAnsi="黑体" w:eastAsia="黑体"/>
      <w:b/>
      <w:caps/>
      <w:color w:val="FF6600"/>
      <w:spacing w:val="20"/>
      <w:szCs w:val="24"/>
      <w:lang w:eastAsia="fr-FR"/>
    </w:rPr>
  </w:style>
  <w:style w:type="character" w:customStyle="1" w:styleId="20">
    <w:name w:val="标题 2 字符"/>
    <w:basedOn w:val="a0"/>
    <w:link w:val="2"/>
    <w:uiPriority w:val="9"/>
    <w:rsid w:val="00051572"/>
    <w:rPr>
      <w:rFonts w:cs="黑体" w:ascii="黑体" w:hAnsi="黑体" w:eastAsia="黑体"/>
      <w:b/>
      <w:iCs/>
      <w:smallCaps/>
      <w:color w:val="363636"/>
      <w:spacing w:val="15"/>
      <w:kern w:val="32"/>
      <w:sz w:val="22"/>
      <w:szCs w:val="24"/>
      <w:lang w:eastAsia="fr-FR"/>
    </w:rPr>
  </w:style>
  <w:style w:type="character" w:customStyle="1" w:styleId="30">
    <w:name w:val="标题 3 字符"/>
    <w:basedOn w:val="a0"/>
    <w:link w:val="3"/>
    <w:uiPriority w:val="9"/>
    <w:rsid w:val="00051572"/>
    <w:rPr>
      <w:rFonts w:cs="黑体" w:ascii="黑体" w:hAnsi="黑体" w:eastAsia="黑体"/>
      <w:b/>
      <w:bCs/>
      <w:smallCaps/>
      <w:color w:val="FF6600"/>
      <w:szCs w:val="24"/>
      <w:lang w:eastAsia="fr-FR"/>
    </w:rPr>
  </w:style>
  <w:style w:type="character" w:customStyle="1" w:styleId="40">
    <w:name w:val="标题 4 字符"/>
    <w:basedOn w:val="a0"/>
    <w:link w:val="4"/>
    <w:uiPriority w:val="9"/>
    <w:rsid w:val="00051572"/>
    <w:rPr>
      <w:rFonts w:ascii="宋体" w:hAnsi="宋体" w:eastAsia="宋体" w:cs="宋体"/>
      <w:bCs/>
      <w:sz w:val="18"/>
      <w:szCs w:val="28"/>
      <w:lang w:bidi="en-US"/>
    </w:rPr>
  </w:style>
  <w:style w:type="character" w:customStyle="1" w:styleId="50">
    <w:name w:val="标题 5 字符"/>
    <w:basedOn w:val="a0"/>
    <w:link w:val="5"/>
    <w:uiPriority w:val="9"/>
    <w:rsid w:val="00051572"/>
    <w:rPr>
      <w:rFonts w:cs="宋体" w:ascii="宋体" w:hAnsi="宋体" w:eastAsia="宋体"/>
      <w:sz w:val="18"/>
      <w:szCs w:val="22"/>
      <w:lang w:eastAsia="fr-FR"/>
    </w:rPr>
  </w:style>
  <w:style w:type="character" w:customStyle="1" w:styleId="60">
    <w:name w:val="标题 6 字符"/>
    <w:basedOn w:val="a0"/>
    <w:link w:val="6"/>
    <w:uiPriority w:val="9"/>
    <w:rsid w:val="00051572"/>
    <w:rPr>
      <w:rFonts w:cs="宋体" w:ascii="宋体" w:hAnsi="宋体" w:eastAsia="宋体"/>
      <w:bCs/>
      <w:sz w:val="18"/>
      <w:szCs w:val="24"/>
      <w:lang w:eastAsia="fr-FR"/>
    </w:rPr>
  </w:style>
  <w:style w:type="character" w:customStyle="1" w:styleId="70">
    <w:name w:val="标题 7 字符"/>
    <w:basedOn w:val="a0"/>
    <w:link w:val="7"/>
    <w:uiPriority w:val="9"/>
    <w:rsid w:val="00051572"/>
    <w:rPr>
      <w:rFonts w:cs="宋体" w:ascii="宋体" w:hAnsi="宋体" w:eastAsia="宋体"/>
      <w:sz w:val="18"/>
      <w:szCs w:val="24"/>
      <w:lang w:eastAsia="fr-FR"/>
    </w:rPr>
  </w:style>
  <w:style w:type="character" w:customStyle="1" w:styleId="80">
    <w:name w:val="标题 8 字符"/>
    <w:basedOn w:val="a0"/>
    <w:link w:val="8"/>
    <w:uiPriority w:val="9"/>
    <w:rsid w:val="00051572"/>
    <w:rPr>
      <w:rFonts w:cs="宋体" w:ascii="宋体" w:hAnsi="宋体" w:eastAsia="宋体"/>
      <w:iCs/>
      <w:sz w:val="18"/>
      <w:szCs w:val="24"/>
      <w:lang w:eastAsia="fr-FR"/>
    </w:rPr>
  </w:style>
  <w:style w:type="character" w:customStyle="1" w:styleId="90">
    <w:name w:val="标题 9 字符"/>
    <w:basedOn w:val="a0"/>
    <w:link w:val="9"/>
    <w:uiPriority w:val="9"/>
    <w:rsid w:val="00051572"/>
    <w:rPr>
      <w:rFonts w:cs="宋体" w:ascii="宋体" w:hAnsi="宋体" w:eastAsia="宋体"/>
      <w:sz w:val="18"/>
      <w:szCs w:val="24"/>
      <w:lang w:eastAsia="fr-FR"/>
    </w:rPr>
  </w:style>
  <w:style w:type="paragraph" w:styleId="a3">
    <w:name w:val="footer"/>
    <w:basedOn w:val="a"/>
    <w:link w:val="a4"/>
    <w:uiPriority w:val="99"/>
    <w:qFormat/>
    <w:rsid w:val="00051572"/>
    <w:pPr>
      <w:tabs>
        <w:tab w:val="center" w:pos="4513"/>
        <w:tab w:val="right" w:pos="9026"/>
      </w:tabs>
    </w:pPr>
    <w:rPr>
      <w:rFonts w:cstheme="majorBidi" w:ascii="宋体" w:hAnsi="宋体" w:eastAsia="宋体" w:cs="宋体"/>
      <w:sz w:val="16"/>
      <w:szCs w:val="20"/>
      <w:lang w:eastAsia="en-US" w:bidi="en-US"/>
    </w:rPr>
  </w:style>
  <w:style w:type="character" w:customStyle="1" w:styleId="a4">
    <w:name w:val="页脚 字符"/>
    <w:basedOn w:val="a0"/>
    <w:link w:val="a3"/>
    <w:uiPriority w:val="99"/>
    <w:rsid w:val="00051572"/>
    <w:rPr>
      <w:rFonts w:ascii="宋体" w:hAnsi="宋体" w:eastAsia="宋体" w:cs="宋体"/>
      <w:sz w:val="16"/>
      <w:lang w:bidi="en-US"/>
    </w:rPr>
  </w:style>
  <w:style w:type="paragraph" w:styleId="a5">
    <w:name w:val="Title"/>
    <w:basedOn w:val="a"/>
    <w:next w:val="a"/>
    <w:link w:val="a6"/>
    <w:uiPriority w:val="10"/>
    <w:qFormat/>
    <w:rsid w:val="00051572"/>
    <w:pPr>
      <w:spacing w:before="240" w:after="60"/>
      <w:jc w:val="center"/>
      <w:outlineLvl w:val="0"/>
    </w:pPr>
    <w:rPr>
      <w:rFonts w:cstheme="majorBidi" w:ascii="黑体" w:hAnsi="黑体" w:eastAsia="黑体" w:cs="黑体"/>
      <w:b/>
      <w:bCs/>
      <w:kern w:val="28"/>
      <w:szCs w:val="32"/>
      <w:u w:val="single"/>
      <w:lang w:eastAsia="en-US" w:bidi="en-US"/>
    </w:rPr>
  </w:style>
  <w:style w:type="character" w:customStyle="1" w:styleId="a6">
    <w:name w:val="标题 字符"/>
    <w:basedOn w:val="a0"/>
    <w:link w:val="a5"/>
    <w:uiPriority w:val="10"/>
    <w:rsid w:val="00051572"/>
    <w:rPr>
      <w:rFonts w:ascii="黑体" w:hAnsi="黑体" w:eastAsia="黑体" w:cs="黑体"/>
      <w:b/>
      <w:bCs/>
      <w:kern w:val="28"/>
      <w:szCs w:val="32"/>
      <w:u w:val="single"/>
      <w:lang w:bidi="en-US"/>
    </w:rPr>
  </w:style>
  <w:style w:type="paragraph" w:styleId="a7">
    <w:name w:val="Subtitle"/>
    <w:basedOn w:val="a"/>
    <w:next w:val="a"/>
    <w:link w:val="a8"/>
    <w:uiPriority w:val="11"/>
    <w:qFormat/>
    <w:rsid w:val="00051572"/>
    <w:pPr>
      <w:spacing w:after="60"/>
      <w:jc w:val="center"/>
      <w:outlineLvl w:val="1"/>
    </w:pPr>
    <w:rPr>
      <w:rFonts w:cstheme="majorBidi" w:ascii="宋体" w:hAnsi="宋体" w:eastAsia="宋体" w:cs="宋体"/>
      <w:szCs w:val="20"/>
      <w:lang w:eastAsia="en-US" w:bidi="en-US"/>
    </w:rPr>
  </w:style>
  <w:style w:type="character" w:customStyle="1" w:styleId="a8">
    <w:name w:val="副标题 字符"/>
    <w:basedOn w:val="a0"/>
    <w:link w:val="a7"/>
    <w:uiPriority w:val="11"/>
    <w:rsid w:val="00051572"/>
    <w:rPr>
      <w:rFonts w:ascii="宋体" w:hAnsi="宋体" w:eastAsia="宋体" w:cs="宋体"/>
      <w:lang w:bidi="en-US"/>
    </w:rPr>
  </w:style>
  <w:style w:type="character" w:styleId="a9">
    <w:name w:val="Hyperlink"/>
    <w:basedOn w:val="a0"/>
    <w:uiPriority w:val="99"/>
    <w:qFormat/>
    <w:rsid w:val="00051572"/>
    <w:rPr>
      <w:rFonts w:ascii="宋体" w:hAnsi="宋体" w:eastAsia="宋体" w:cs="宋体"/>
      <w:color w:val="FF6600"/>
      <w:sz w:val="20"/>
      <w:u w:val="single"/>
    </w:rPr>
  </w:style>
  <w:style w:type="character" w:styleId="aa">
    <w:name w:val="FollowedHyperlink"/>
    <w:basedOn w:val="a0"/>
    <w:uiPriority w:val="99"/>
    <w:qFormat/>
    <w:rsid w:val="00051572"/>
    <w:rPr>
      <w:rFonts w:ascii="宋体" w:hAnsi="宋体" w:eastAsia="宋体" w:cs="宋体"/>
      <w:i/>
      <w:color w:val="363636"/>
      <w:sz w:val="20"/>
      <w:u w:val="single"/>
    </w:rPr>
  </w:style>
  <w:style w:type="character" w:styleId="ab">
    <w:name w:val="Strong"/>
    <w:basedOn w:val="a0"/>
    <w:uiPriority w:val="22"/>
    <w:qFormat/>
    <w:rsid w:val="00051572"/>
    <w:rPr>
      <w:b/>
      <w:bCs/>
    </w:rPr>
  </w:style>
  <w:style w:type="character" w:styleId="ac">
    <w:name w:val="Emphasis"/>
    <w:basedOn w:val="a0"/>
    <w:uiPriority w:val="20"/>
    <w:qFormat/>
    <w:rsid w:val="00051572"/>
    <w:rPr>
      <w:rFonts w:ascii="黑体" w:hAnsi="黑体" w:eastAsia="黑体" w:cs="黑体"/>
      <w:b/>
      <w:i/>
      <w:iCs/>
    </w:rPr>
  </w:style>
  <w:style w:type="paragraph" w:styleId="ad">
    <w:name w:val="No Spacing"/>
    <w:basedOn w:val="a"/>
    <w:link w:val="ae"/>
    <w:uiPriority w:val="1"/>
    <w:qFormat/>
    <w:rsid w:val="00051572"/>
    <w:rPr>
      <w:rFonts w:cstheme="majorBidi" w:ascii="宋体" w:hAnsi="宋体" w:eastAsia="宋体" w:cs="宋体"/>
      <w:szCs w:val="32"/>
      <w:lang w:eastAsia="en-US" w:bidi="en-US"/>
    </w:rPr>
  </w:style>
  <w:style w:type="character" w:customStyle="1" w:styleId="ae">
    <w:name w:val="无间隔 字符"/>
    <w:basedOn w:val="a0"/>
    <w:link w:val="ad"/>
    <w:uiPriority w:val="1"/>
    <w:rsid w:val="00051572"/>
    <w:rPr>
      <w:rFonts w:ascii="宋体" w:hAnsi="宋体" w:eastAsia="宋体" w:cs="宋体"/>
      <w:szCs w:val="32"/>
      <w:lang w:bidi="en-US"/>
    </w:rPr>
  </w:style>
  <w:style w:type="paragraph" w:styleId="af">
    <w:name w:val="List Paragraph"/>
    <w:basedOn w:val="a"/>
    <w:uiPriority w:val="34"/>
    <w:qFormat/>
    <w:rsid w:val="00051572"/>
    <w:pPr>
      <w:ind w:left="720"/>
      <w:contextualSpacing/>
    </w:pPr>
  </w:style>
  <w:style w:type="paragraph" w:styleId="af0">
    <w:name w:val="Quote"/>
    <w:basedOn w:val="a"/>
    <w:next w:val="a"/>
    <w:link w:val="af1"/>
    <w:uiPriority w:val="29"/>
    <w:qFormat/>
    <w:rsid w:val="00051572"/>
    <w:rPr>
      <w:rFonts w:cstheme="majorBidi" w:ascii="宋体" w:hAnsi="宋体" w:eastAsia="宋体" w:cs="宋体"/>
      <w:i/>
      <w:szCs w:val="20"/>
      <w:lang w:eastAsia="en-US" w:bidi="en-US"/>
    </w:rPr>
  </w:style>
  <w:style w:type="character" w:customStyle="1" w:styleId="af1">
    <w:name w:val="引用 字符"/>
    <w:basedOn w:val="a0"/>
    <w:link w:val="af0"/>
    <w:uiPriority w:val="29"/>
    <w:rsid w:val="00051572"/>
    <w:rPr>
      <w:rFonts w:ascii="宋体" w:hAnsi="宋体" w:eastAsia="宋体" w:cs="宋体"/>
      <w:i/>
      <w:lang w:bidi="en-US"/>
    </w:rPr>
  </w:style>
  <w:style w:type="paragraph" w:styleId="af2">
    <w:name w:val="Intense Quote"/>
    <w:basedOn w:val="a"/>
    <w:next w:val="a"/>
    <w:link w:val="af3"/>
    <w:uiPriority w:val="30"/>
    <w:qFormat/>
    <w:rsid w:val="00051572"/>
    <w:pPr>
      <w:ind w:left="720" w:right="720"/>
    </w:pPr>
    <w:rPr>
      <w:rFonts w:cstheme="majorBidi" w:ascii="黑体" w:hAnsi="黑体" w:eastAsia="黑体" w:cs="黑体"/>
      <w:b/>
      <w:i/>
      <w:szCs w:val="20"/>
      <w:lang w:eastAsia="en-US" w:bidi="en-US"/>
    </w:rPr>
  </w:style>
  <w:style w:type="character" w:customStyle="1" w:styleId="af3">
    <w:name w:val="明显引用 字符"/>
    <w:basedOn w:val="a0"/>
    <w:link w:val="af2"/>
    <w:uiPriority w:val="30"/>
    <w:rsid w:val="00051572"/>
    <w:rPr>
      <w:rFonts w:ascii="黑体" w:hAnsi="黑体" w:eastAsia="黑体" w:cs="黑体"/>
      <w:b/>
      <w:i/>
      <w:lang w:bidi="en-US"/>
    </w:rPr>
  </w:style>
  <w:style w:type="character" w:styleId="af4">
    <w:name w:val="Subtle Emphasis"/>
    <w:uiPriority w:val="19"/>
    <w:qFormat/>
    <w:rsid w:val="00051572"/>
    <w:rPr>
      <w:i/>
      <w:color w:val="5A5A5A" w:themeColor="text1" w:themeTint="A5"/>
    </w:rPr>
  </w:style>
  <w:style w:type="character" w:styleId="af5">
    <w:name w:val="Intense Emphasis"/>
    <w:basedOn w:val="a0"/>
    <w:uiPriority w:val="21"/>
    <w:qFormat/>
    <w:rsid w:val="00051572"/>
    <w:rPr>
      <w:b/>
      <w:i/>
      <w:sz w:val="24"/>
      <w:szCs w:val="24"/>
      <w:u w:val="single"/>
    </w:rPr>
  </w:style>
  <w:style w:type="character" w:styleId="af6">
    <w:name w:val="Subtle Reference"/>
    <w:basedOn w:val="a0"/>
    <w:uiPriority w:val="31"/>
    <w:qFormat/>
    <w:rsid w:val="00051572"/>
    <w:rPr>
      <w:sz w:val="24"/>
      <w:szCs w:val="24"/>
      <w:u w:val="single"/>
    </w:rPr>
  </w:style>
  <w:style w:type="character" w:styleId="af7">
    <w:name w:val="Intense Reference"/>
    <w:basedOn w:val="a0"/>
    <w:uiPriority w:val="32"/>
    <w:qFormat/>
    <w:rsid w:val="00051572"/>
    <w:rPr>
      <w:b/>
      <w:sz w:val="24"/>
      <w:u w:val="single"/>
    </w:rPr>
  </w:style>
  <w:style w:type="character" w:styleId="af8">
    <w:name w:val="Book Title"/>
    <w:basedOn w:val="a0"/>
    <w:uiPriority w:val="33"/>
    <w:qFormat/>
    <w:rsid w:val="00051572"/>
    <w:rPr>
      <w:rFonts w:ascii="黑体" w:hAnsi="黑体" w:eastAsia="黑体" w:cs="黑体"/>
      <w:b/>
      <w:i/>
      <w:sz w:val="24"/>
      <w:szCs w:val="24"/>
    </w:rPr>
  </w:style>
  <w:style w:type="paragraph" w:styleId="TOC">
    <w:name w:val="TOC Heading"/>
    <w:basedOn w:val="1"/>
    <w:next w:val="a"/>
    <w:uiPriority w:val="39"/>
    <w:qFormat/>
    <w:rsid w:val="00051572"/>
    <w:pPr>
      <w:numPr>
        <w:numId w:val="0"/>
      </w:numPr>
      <w:outlineLvl w:val="9"/>
    </w:pPr>
  </w:style>
  <w:style w:type="paragraph" w:customStyle="1" w:styleId="List1">
    <w:name w:val="List 1"/>
    <w:basedOn w:val="a"/>
    <w:link w:val="List1Char"/>
    <w:uiPriority w:val="99"/>
    <w:qFormat/>
    <w:rsid w:val="00051572"/>
    <w:pPr>
      <w:numPr>
        <w:numId w:val="18"/>
      </w:numPr>
      <w:spacing w:before="60"/>
    </w:pPr>
    <w:rPr>
      <w:rFonts w:cstheme="majorBidi" w:ascii="宋体" w:hAnsi="宋体" w:eastAsia="宋体" w:cs="宋体"/>
      <w:szCs w:val="20"/>
      <w:lang w:eastAsia="en-US" w:bidi="en-US"/>
    </w:rPr>
  </w:style>
  <w:style w:type="character" w:customStyle="1" w:styleId="List1Char">
    <w:name w:val="List 1 Char"/>
    <w:basedOn w:val="a0"/>
    <w:link w:val="List1"/>
    <w:uiPriority w:val="99"/>
    <w:rsid w:val="00051572"/>
    <w:rPr>
      <w:rFonts w:ascii="宋体" w:hAnsi="宋体" w:eastAsia="宋体" w:cs="宋体"/>
      <w:lang w:bidi="en-US"/>
    </w:rPr>
  </w:style>
  <w:style w:type="paragraph" w:customStyle="1" w:styleId="Highlight">
    <w:name w:val="Highlight"/>
    <w:basedOn w:val="a"/>
    <w:uiPriority w:val="99"/>
    <w:qFormat/>
    <w:rsid w:val="00051572"/>
    <w:rPr>
      <w:color w:val="BF0000" w:themeColor="accent6" w:themeShade="BF"/>
    </w:rPr>
  </w:style>
  <w:style w:type="paragraph" w:customStyle="1" w:styleId="Numbered1">
    <w:name w:val="Numbered 1"/>
    <w:basedOn w:val="a"/>
    <w:rsid w:val="00051572"/>
    <w:pPr>
      <w:numPr>
        <w:numId w:val="19"/>
      </w:numPr>
      <w:spacing w:before="60"/>
    </w:pPr>
  </w:style>
  <w:style w:type="paragraph" w:customStyle="1" w:styleId="List2">
    <w:name w:val="List2"/>
    <w:basedOn w:val="List1"/>
    <w:uiPriority w:val="99"/>
    <w:qFormat/>
    <w:rsid w:val="00051572"/>
    <w:pPr>
      <w:numPr>
        <w:numId w:val="0"/>
      </w:numPr>
      <w:spacing w:before="0"/>
    </w:pPr>
    <w:rPr>
      <w:szCs w:val="24"/>
      <w:lang w:val="fr-FR" w:eastAsia="fr-FR" w:bidi="ar-SA"/>
    </w:rPr>
  </w:style>
  <w:style w:type="paragraph" w:customStyle="1" w:styleId="StyleHeading5Firstline0cm">
    <w:name w:val="Style Heading 5 + First line:  0 cm"/>
    <w:basedOn w:val="5"/>
    <w:qFormat/>
    <w:rsid w:val="00051572"/>
    <w:pPr>
      <w:numPr>
        <w:ilvl w:val="0"/>
        <w:numId w:val="0"/>
      </w:numPr>
    </w:pPr>
    <w:rPr>
      <w:color w:val="363636"/>
      <w:szCs w:val="24"/>
      <w:u w:val="single"/>
    </w:rPr>
  </w:style>
  <w:style w:type="paragraph" w:customStyle="1" w:styleId="Glossary">
    <w:name w:val="Glossary"/>
    <w:basedOn w:val="a"/>
    <w:link w:val="GlossaryChar"/>
    <w:uiPriority w:val="99"/>
    <w:qFormat/>
    <w:rsid w:val="00051572"/>
    <w:pPr>
      <w:spacing w:before="40"/>
    </w:pPr>
    <w:rPr>
      <w:rFonts w:cstheme="majorBidi" w:ascii="宋体" w:hAnsi="宋体" w:eastAsia="宋体" w:cs="宋体"/>
      <w:sz w:val="16"/>
      <w:szCs w:val="16"/>
      <w:lang w:eastAsia="en-GB"/>
    </w:rPr>
  </w:style>
  <w:style w:type="character" w:customStyle="1" w:styleId="GlossaryChar">
    <w:name w:val="Glossary Char"/>
    <w:basedOn w:val="a0"/>
    <w:link w:val="Glossary"/>
    <w:uiPriority w:val="99"/>
    <w:rsid w:val="00051572"/>
    <w:rPr>
      <w:sz w:val="16"/>
      <w:szCs w:val="16"/>
      <w:lang w:eastAsia="en-GB"/>
    </w:rPr>
  </w:style>
  <w:style w:type="numbering" w:customStyle="1" w:styleId="Style1">
    <w:name w:val="Style1"/>
    <w:uiPriority w:val="99"/>
    <w:rsid w:val="00051572"/>
    <w:pPr>
      <w:numPr>
        <w:numId w:val="4"/>
      </w:numPr>
    </w:pPr>
  </w:style>
  <w:style w:type="paragraph" w:styleId="af9">
    <w:name w:val="header"/>
    <w:basedOn w:val="a"/>
    <w:link w:val="afa"/>
    <w:autoRedefine/>
    <w:uiPriority w:val="99"/>
    <w:rsid w:val="00051572"/>
    <w:pPr>
      <w:tabs>
        <w:tab w:val="center" w:pos="4536"/>
        <w:tab w:val="right" w:pos="9072"/>
      </w:tabs>
    </w:pPr>
  </w:style>
  <w:style w:type="character" w:customStyle="1" w:styleId="afa">
    <w:name w:val="页眉 字符"/>
    <w:basedOn w:val="a0"/>
    <w:link w:val="af9"/>
    <w:uiPriority w:val="99"/>
    <w:rsid w:val="00051572"/>
    <w:rPr>
      <w:rFonts w:cs="宋体" w:ascii="宋体" w:hAnsi="宋体" w:eastAsia="宋体"/>
      <w:szCs w:val="24"/>
      <w:lang w:eastAsia="fr-FR"/>
    </w:rPr>
  </w:style>
  <w:style w:type="table" w:styleId="afb">
    <w:name w:val="Table Grid"/>
    <w:aliases w:val="SGS Table Basic 1"/>
    <w:basedOn w:val="a1"/>
    <w:rsid w:val="00051572"/>
    <w:pPr>
      <w:spacing w:before="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jc w:val="left"/>
      </w:pPr>
      <w:rPr>
        <w:color w:val="FF6600"/>
      </w:rPr>
      <w:tblPr/>
      <w:tcPr>
        <w:tcBorders>
          <w:bottom w:val="single" w:sz="12" w:space="0" w:color="363636"/>
        </w:tcBorders>
      </w:tcPr>
    </w:tblStylePr>
  </w:style>
  <w:style w:type="table" w:customStyle="1" w:styleId="SGSTableBasic2">
    <w:name w:val="SGS Table Basic 2"/>
    <w:basedOn w:val="a1"/>
    <w:uiPriority w:val="99"/>
    <w:qFormat/>
    <w:rsid w:val="00051572"/>
    <w:pPr>
      <w:spacing w:before="0"/>
    </w:pPr>
    <w:tblPr/>
    <w:tcPr>
      <w:shd w:val="clear" w:color="auto" w:fill="BCBCBC"/>
    </w:tcPr>
    <w:tblStylePr w:type="firstRow">
      <w:pPr>
        <w:jc w:val="left"/>
      </w:pPr>
      <w:tblPr/>
      <w:tcPr>
        <w:shd w:val="clear" w:color="auto" w:fill="363636"/>
        <w:vAlign w:val="center"/>
      </w:tcPr>
    </w:tblStylePr>
  </w:style>
  <w:style w:type="numbering" w:customStyle="1" w:styleId="SGS">
    <w:name w:val="SGS"/>
    <w:uiPriority w:val="99"/>
    <w:rsid w:val="00051572"/>
    <w:pPr>
      <w:numPr>
        <w:numId w:val="5"/>
      </w:numPr>
    </w:pPr>
  </w:style>
  <w:style w:type="paragraph" w:styleId="TOC1">
    <w:name w:val="toc 1"/>
    <w:basedOn w:val="a"/>
    <w:next w:val="a"/>
    <w:autoRedefine/>
    <w:uiPriority w:val="39"/>
    <w:rsid w:val="00051572"/>
    <w:pPr>
      <w:keepNext/>
      <w:keepLines/>
      <w:pBdr>
        <w:left w:val="single" w:sz="48" w:space="4" w:color="FF6600"/>
      </w:pBdr>
      <w:shd w:val="clear" w:color="auto" w:fill="363636"/>
      <w:tabs>
        <w:tab w:val="left" w:pos="426"/>
        <w:tab w:val="right" w:leader="dot" w:pos="9072"/>
      </w:tabs>
    </w:pPr>
    <w:rPr>
      <w:rFonts w:cstheme="majorBidi" w:ascii="黑体" w:hAnsi="黑体" w:eastAsia="黑体" w:cs="黑体"/>
      <w:b/>
      <w:caps/>
      <w:noProof/>
      <w:color w:val="FFFFFF" w:themeColor="background1"/>
      <w:sz w:val="18"/>
      <w:szCs w:val="20"/>
      <w:lang w:eastAsia="en-US" w:bidi="en-US"/>
    </w:rPr>
  </w:style>
  <w:style w:type="paragraph" w:styleId="TOC2">
    <w:name w:val="toc 2"/>
    <w:basedOn w:val="a"/>
    <w:next w:val="a"/>
    <w:autoRedefine/>
    <w:uiPriority w:val="39"/>
    <w:rsid w:val="00051572"/>
    <w:pPr>
      <w:keepNext/>
      <w:keepLines/>
      <w:tabs>
        <w:tab w:val="left" w:pos="880"/>
        <w:tab w:val="right" w:leader="dot" w:pos="9072"/>
      </w:tabs>
    </w:pPr>
    <w:rPr>
      <w:rFonts w:cstheme="majorBidi" w:ascii="宋体" w:hAnsi="宋体" w:eastAsia="宋体" w:cs="宋体"/>
      <w:smallCaps/>
      <w:noProof/>
      <w:sz w:val="18"/>
      <w:szCs w:val="18"/>
      <w:lang w:eastAsia="en-US" w:bidi="en-US"/>
    </w:rPr>
  </w:style>
  <w:style w:type="paragraph" w:styleId="TOC3">
    <w:name w:val="toc 3"/>
    <w:basedOn w:val="a"/>
    <w:next w:val="a"/>
    <w:autoRedefine/>
    <w:uiPriority w:val="39"/>
    <w:rsid w:val="00051572"/>
    <w:pPr>
      <w:keepNext/>
      <w:keepLines/>
      <w:tabs>
        <w:tab w:val="left" w:pos="1418"/>
        <w:tab w:val="right" w:leader="dot" w:pos="9072"/>
      </w:tabs>
      <w:ind w:left="1418" w:hanging="567"/>
    </w:pPr>
    <w:rPr>
      <w:rFonts w:cstheme="majorBidi" w:ascii="宋体" w:hAnsi="宋体" w:eastAsia="宋体" w:cs="宋体"/>
      <w:noProof/>
      <w:sz w:val="18"/>
      <w:szCs w:val="22"/>
      <w:lang w:eastAsia="en-US" w:bidi="en-US"/>
    </w:rPr>
  </w:style>
  <w:style w:type="paragraph" w:styleId="afc">
    <w:name w:val="Balloon Text"/>
    <w:basedOn w:val="a"/>
    <w:link w:val="afd"/>
    <w:semiHidden/>
    <w:rsid w:val="00051572"/>
    <w:pPr>
      <w:spacing w:before="0"/>
    </w:pPr>
    <w:rPr>
      <w:rFonts w:cs="宋体" w:ascii="宋体" w:hAnsi="宋体" w:eastAsia="宋体"/>
      <w:sz w:val="16"/>
      <w:szCs w:val="16"/>
    </w:rPr>
  </w:style>
  <w:style w:type="character" w:customStyle="1" w:styleId="afd">
    <w:name w:val="批注框文本 字符"/>
    <w:basedOn w:val="a0"/>
    <w:link w:val="afc"/>
    <w:semiHidden/>
    <w:rsid w:val="00051572"/>
    <w:rPr>
      <w:rFonts w:cs="宋体" w:ascii="宋体" w:hAnsi="宋体" w:eastAsia="宋体"/>
      <w:sz w:val="16"/>
      <w:szCs w:val="16"/>
      <w:lang w:val="fr-FR" w:eastAsia="fr-FR"/>
    </w:rPr>
  </w:style>
  <w:style w:type="table" w:styleId="21">
    <w:name w:val="Table Classic 2"/>
    <w:basedOn w:val="a1"/>
    <w:rsid w:val="00C72CF6"/>
    <w:pPr>
      <w:ind w:left="0" w:firstLine="0"/>
    </w:pPr>
    <w:tblPr>
      <w:tblBorders>
        <w:top w:val="single" w:sz="12" w:space="0" w:color="000000"/>
        <w:bottom w:val="single" w:sz="12" w:space="0" w:color="000000"/>
      </w:tblBorders>
    </w:tblPr>
    <w:tcPr>
      <w:shd w:val="clear" w:color="auto" w:fill="auto"/>
    </w:tcPr>
    <w:tblStylePr w:type="firstRow">
      <w:rPr>
        <w:color w:val="FFFFFF"/>
      </w:rPr>
      <w:tblPr/>
      <w:tcPr>
        <w:shd w:val="clear" w:color="auto" w:fill="FF6600"/>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shd w:val="clear" w:color="auto" w:fill="363636"/>
      </w:tcPr>
    </w:tblStylePr>
    <w:tblStylePr w:type="swCell">
      <w:rPr>
        <w:color w:val="auto"/>
      </w:rPr>
      <w:tblPr/>
      <w:tcPr>
        <w:tcBorders>
          <w:tl2br w:val="none" w:sz="0" w:space="0" w:color="auto"/>
          <w:tr2bl w:val="none" w:sz="0" w:space="0" w:color="auto"/>
        </w:tcBorders>
      </w:tcPr>
    </w:tblStylePr>
  </w:style>
  <w:style w:type="table" w:styleId="11">
    <w:name w:val="Table Colorful 1"/>
    <w:basedOn w:val="a1"/>
    <w:rsid w:val="00B40C4D"/>
    <w:pPr>
      <w:ind w:left="0" w:firstLine="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clear" w:color="auto" w:fill="BCBCBC"/>
    </w:tcPr>
    <w:tblStylePr w:type="firstRow">
      <w:rPr>
        <w:b/>
        <w:bCs/>
        <w:i/>
        <w:iCs/>
      </w:rPr>
      <w:tblPr/>
      <w:tcPr>
        <w:shd w:val="clear" w:color="auto" w:fill="363636"/>
      </w:tcPr>
    </w:tblStylePr>
    <w:tblStylePr w:type="firstCol">
      <w:rPr>
        <w:b/>
        <w:bCs/>
        <w:i/>
        <w:iCs/>
      </w:rPr>
      <w:tblPr/>
      <w:tcPr>
        <w:shd w:val="clear" w:color="auto" w:fill="FF6600"/>
      </w:tcPr>
    </w:tblStylePr>
    <w:tblStylePr w:type="nwCell">
      <w:tblPr/>
      <w:tcPr>
        <w:shd w:val="clear" w:color="auto" w:fill="363636"/>
      </w:tcPr>
    </w:tblStylePr>
    <w:tblStylePr w:type="swCell">
      <w:rPr>
        <w:b/>
        <w:bCs/>
        <w:i w:val="0"/>
        <w:iCs w:val="0"/>
      </w:rPr>
    </w:tblStylePr>
  </w:style>
  <w:style w:type="table" w:styleId="81">
    <w:name w:val="Table List 8"/>
    <w:basedOn w:val="a1"/>
    <w:rsid w:val="00B40C4D"/>
    <w:pPr>
      <w:ind w:left="0" w:firstLine="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shd w:val="clear" w:color="auto" w:fill="BCBCBC"/>
    </w:tcPr>
    <w:tblStylePr w:type="firstRow">
      <w:rPr>
        <w:b/>
        <w:bCs/>
        <w:i/>
        <w:iCs/>
      </w:rPr>
      <w:tblPr/>
      <w:tcPr>
        <w:shd w:val="clear" w:color="auto" w:fill="FF6600"/>
      </w:tcPr>
    </w:tblStylePr>
    <w:tblStylePr w:type="lastRow">
      <w:rPr>
        <w:b/>
        <w:bCs/>
      </w:rPr>
      <w:tblPr/>
      <w:tcPr>
        <w:shd w:val="clear" w:color="auto" w:fill="FF6600"/>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shd w:val="clear" w:color="auto" w:fill="BCBCBC"/>
      </w:tcPr>
    </w:tblStylePr>
    <w:tblStylePr w:type="band2Horz">
      <w:tblPr/>
      <w:tcPr>
        <w:shd w:val="clear" w:color="auto" w:fill="363636"/>
      </w:tcPr>
    </w:tblStylePr>
  </w:style>
  <w:style w:type="table" w:styleId="31">
    <w:name w:val="Table Classic 3"/>
    <w:basedOn w:val="a1"/>
    <w:rsid w:val="00B40C4D"/>
    <w:pPr>
      <w:ind w:left="0" w:firstLine="0"/>
    </w:pPr>
    <w:tblPr>
      <w:tblBorders>
        <w:top w:val="single" w:sz="12" w:space="0" w:color="000000"/>
        <w:left w:val="single" w:sz="12" w:space="0" w:color="000000"/>
        <w:bottom w:val="single" w:sz="12" w:space="0" w:color="000000"/>
        <w:right w:val="single" w:sz="12" w:space="0" w:color="000000"/>
      </w:tblBorders>
    </w:tblPr>
    <w:tcPr>
      <w:shd w:val="clear" w:color="auto" w:fill="BCBCBC"/>
    </w:tcPr>
    <w:tblStylePr w:type="firstRow">
      <w:rPr>
        <w:b/>
        <w:bCs/>
        <w:i/>
        <w:iCs/>
        <w:color w:val="FFFFFF"/>
      </w:rPr>
      <w:tblPr/>
      <w:tcPr>
        <w:shd w:val="clear" w:color="auto" w:fill="363636"/>
      </w:tcPr>
    </w:tblStylePr>
    <w:tblStylePr w:type="lastRow">
      <w:rPr>
        <w:color w:val="FF660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e">
    <w:name w:val="Unresolved Mention"/>
    <w:basedOn w:val="a0"/>
    <w:uiPriority w:val="99"/>
    <w:semiHidden/>
    <w:unhideWhenUsed/>
    <w:rsid w:val="00A13E9F"/>
    <w:rPr>
      <w:color w:val="605E5C"/>
      <w:shd w:val="clear" w:color="auto" w:fill="E1DFDD"/>
    </w:rPr>
  </w:style>
  <w:style w:type="paragraph" w:styleId="aff">
    <w:name w:val="Normal (Web)"/>
    <w:basedOn w:val="a"/>
    <w:uiPriority w:val="99"/>
    <w:unhideWhenUsed/>
    <w:rsid w:val="007047B5"/>
    <w:pPr>
      <w:spacing w:before="100" w:beforeAutospacing="1" w:after="100" w:afterAutospacing="1"/>
    </w:pPr>
    <w:rPr>
      <w:rFonts w:ascii="宋体" w:eastAsia="宋体" w:hAnsi="宋体" w:cs="宋体"/>
      <w:sz w:val="24"/>
      <w:lang w:val="en-US" w:eastAsia="zh-CN"/>
    </w:rPr>
  </w:style>
  <w:style w:type="character" w:customStyle="1" w:styleId="qnt-strong">
    <w:name w:val="qnt-strong"/>
    <w:basedOn w:val="a0"/>
    <w:rsid w:val="00692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01">
      <w:bodyDiv w:val="1"/>
      <w:marLeft w:val="0"/>
      <w:marRight w:val="0"/>
      <w:marTop w:val="0"/>
      <w:marBottom w:val="0"/>
      <w:divBdr>
        <w:top w:val="none" w:sz="0" w:space="0" w:color="auto"/>
        <w:left w:val="none" w:sz="0" w:space="0" w:color="auto"/>
        <w:bottom w:val="none" w:sz="0" w:space="0" w:color="auto"/>
        <w:right w:val="none" w:sz="0" w:space="0" w:color="auto"/>
      </w:divBdr>
    </w:div>
    <w:div w:id="39481016">
      <w:bodyDiv w:val="1"/>
      <w:marLeft w:val="0"/>
      <w:marRight w:val="0"/>
      <w:marTop w:val="0"/>
      <w:marBottom w:val="0"/>
      <w:divBdr>
        <w:top w:val="none" w:sz="0" w:space="0" w:color="auto"/>
        <w:left w:val="none" w:sz="0" w:space="0" w:color="auto"/>
        <w:bottom w:val="none" w:sz="0" w:space="0" w:color="auto"/>
        <w:right w:val="none" w:sz="0" w:space="0" w:color="auto"/>
      </w:divBdr>
    </w:div>
    <w:div w:id="43799558">
      <w:bodyDiv w:val="1"/>
      <w:marLeft w:val="0"/>
      <w:marRight w:val="0"/>
      <w:marTop w:val="0"/>
      <w:marBottom w:val="0"/>
      <w:divBdr>
        <w:top w:val="none" w:sz="0" w:space="0" w:color="auto"/>
        <w:left w:val="none" w:sz="0" w:space="0" w:color="auto"/>
        <w:bottom w:val="none" w:sz="0" w:space="0" w:color="auto"/>
        <w:right w:val="none" w:sz="0" w:space="0" w:color="auto"/>
      </w:divBdr>
    </w:div>
    <w:div w:id="44986536">
      <w:bodyDiv w:val="1"/>
      <w:marLeft w:val="0"/>
      <w:marRight w:val="0"/>
      <w:marTop w:val="0"/>
      <w:marBottom w:val="0"/>
      <w:divBdr>
        <w:top w:val="none" w:sz="0" w:space="0" w:color="auto"/>
        <w:left w:val="none" w:sz="0" w:space="0" w:color="auto"/>
        <w:bottom w:val="none" w:sz="0" w:space="0" w:color="auto"/>
        <w:right w:val="none" w:sz="0" w:space="0" w:color="auto"/>
      </w:divBdr>
    </w:div>
    <w:div w:id="73204139">
      <w:bodyDiv w:val="1"/>
      <w:marLeft w:val="0"/>
      <w:marRight w:val="0"/>
      <w:marTop w:val="0"/>
      <w:marBottom w:val="0"/>
      <w:divBdr>
        <w:top w:val="none" w:sz="0" w:space="0" w:color="auto"/>
        <w:left w:val="none" w:sz="0" w:space="0" w:color="auto"/>
        <w:bottom w:val="none" w:sz="0" w:space="0" w:color="auto"/>
        <w:right w:val="none" w:sz="0" w:space="0" w:color="auto"/>
      </w:divBdr>
    </w:div>
    <w:div w:id="96756491">
      <w:bodyDiv w:val="1"/>
      <w:marLeft w:val="0"/>
      <w:marRight w:val="0"/>
      <w:marTop w:val="0"/>
      <w:marBottom w:val="0"/>
      <w:divBdr>
        <w:top w:val="none" w:sz="0" w:space="0" w:color="auto"/>
        <w:left w:val="none" w:sz="0" w:space="0" w:color="auto"/>
        <w:bottom w:val="none" w:sz="0" w:space="0" w:color="auto"/>
        <w:right w:val="none" w:sz="0" w:space="0" w:color="auto"/>
      </w:divBdr>
    </w:div>
    <w:div w:id="161972078">
      <w:bodyDiv w:val="1"/>
      <w:marLeft w:val="0"/>
      <w:marRight w:val="0"/>
      <w:marTop w:val="0"/>
      <w:marBottom w:val="0"/>
      <w:divBdr>
        <w:top w:val="none" w:sz="0" w:space="0" w:color="auto"/>
        <w:left w:val="none" w:sz="0" w:space="0" w:color="auto"/>
        <w:bottom w:val="none" w:sz="0" w:space="0" w:color="auto"/>
        <w:right w:val="none" w:sz="0" w:space="0" w:color="auto"/>
      </w:divBdr>
    </w:div>
    <w:div w:id="209616061">
      <w:bodyDiv w:val="1"/>
      <w:marLeft w:val="0"/>
      <w:marRight w:val="0"/>
      <w:marTop w:val="0"/>
      <w:marBottom w:val="0"/>
      <w:divBdr>
        <w:top w:val="none" w:sz="0" w:space="0" w:color="auto"/>
        <w:left w:val="none" w:sz="0" w:space="0" w:color="auto"/>
        <w:bottom w:val="none" w:sz="0" w:space="0" w:color="auto"/>
        <w:right w:val="none" w:sz="0" w:space="0" w:color="auto"/>
      </w:divBdr>
    </w:div>
    <w:div w:id="215708287">
      <w:bodyDiv w:val="1"/>
      <w:marLeft w:val="0"/>
      <w:marRight w:val="0"/>
      <w:marTop w:val="0"/>
      <w:marBottom w:val="0"/>
      <w:divBdr>
        <w:top w:val="none" w:sz="0" w:space="0" w:color="auto"/>
        <w:left w:val="none" w:sz="0" w:space="0" w:color="auto"/>
        <w:bottom w:val="none" w:sz="0" w:space="0" w:color="auto"/>
        <w:right w:val="none" w:sz="0" w:space="0" w:color="auto"/>
      </w:divBdr>
    </w:div>
    <w:div w:id="232278913">
      <w:bodyDiv w:val="1"/>
      <w:marLeft w:val="0"/>
      <w:marRight w:val="0"/>
      <w:marTop w:val="0"/>
      <w:marBottom w:val="0"/>
      <w:divBdr>
        <w:top w:val="none" w:sz="0" w:space="0" w:color="auto"/>
        <w:left w:val="none" w:sz="0" w:space="0" w:color="auto"/>
        <w:bottom w:val="none" w:sz="0" w:space="0" w:color="auto"/>
        <w:right w:val="none" w:sz="0" w:space="0" w:color="auto"/>
      </w:divBdr>
    </w:div>
    <w:div w:id="337462907">
      <w:bodyDiv w:val="1"/>
      <w:marLeft w:val="0"/>
      <w:marRight w:val="0"/>
      <w:marTop w:val="0"/>
      <w:marBottom w:val="0"/>
      <w:divBdr>
        <w:top w:val="none" w:sz="0" w:space="0" w:color="auto"/>
        <w:left w:val="none" w:sz="0" w:space="0" w:color="auto"/>
        <w:bottom w:val="none" w:sz="0" w:space="0" w:color="auto"/>
        <w:right w:val="none" w:sz="0" w:space="0" w:color="auto"/>
      </w:divBdr>
    </w:div>
    <w:div w:id="346441532">
      <w:bodyDiv w:val="1"/>
      <w:marLeft w:val="0"/>
      <w:marRight w:val="0"/>
      <w:marTop w:val="0"/>
      <w:marBottom w:val="0"/>
      <w:divBdr>
        <w:top w:val="none" w:sz="0" w:space="0" w:color="auto"/>
        <w:left w:val="none" w:sz="0" w:space="0" w:color="auto"/>
        <w:bottom w:val="none" w:sz="0" w:space="0" w:color="auto"/>
        <w:right w:val="none" w:sz="0" w:space="0" w:color="auto"/>
      </w:divBdr>
    </w:div>
    <w:div w:id="367687288">
      <w:bodyDiv w:val="1"/>
      <w:marLeft w:val="0"/>
      <w:marRight w:val="0"/>
      <w:marTop w:val="0"/>
      <w:marBottom w:val="0"/>
      <w:divBdr>
        <w:top w:val="none" w:sz="0" w:space="0" w:color="auto"/>
        <w:left w:val="none" w:sz="0" w:space="0" w:color="auto"/>
        <w:bottom w:val="none" w:sz="0" w:space="0" w:color="auto"/>
        <w:right w:val="none" w:sz="0" w:space="0" w:color="auto"/>
      </w:divBdr>
    </w:div>
    <w:div w:id="371659602">
      <w:bodyDiv w:val="1"/>
      <w:marLeft w:val="0"/>
      <w:marRight w:val="0"/>
      <w:marTop w:val="0"/>
      <w:marBottom w:val="0"/>
      <w:divBdr>
        <w:top w:val="none" w:sz="0" w:space="0" w:color="auto"/>
        <w:left w:val="none" w:sz="0" w:space="0" w:color="auto"/>
        <w:bottom w:val="none" w:sz="0" w:space="0" w:color="auto"/>
        <w:right w:val="none" w:sz="0" w:space="0" w:color="auto"/>
      </w:divBdr>
    </w:div>
    <w:div w:id="399404533">
      <w:bodyDiv w:val="1"/>
      <w:marLeft w:val="0"/>
      <w:marRight w:val="0"/>
      <w:marTop w:val="0"/>
      <w:marBottom w:val="0"/>
      <w:divBdr>
        <w:top w:val="none" w:sz="0" w:space="0" w:color="auto"/>
        <w:left w:val="none" w:sz="0" w:space="0" w:color="auto"/>
        <w:bottom w:val="none" w:sz="0" w:space="0" w:color="auto"/>
        <w:right w:val="none" w:sz="0" w:space="0" w:color="auto"/>
      </w:divBdr>
    </w:div>
    <w:div w:id="427893762">
      <w:bodyDiv w:val="1"/>
      <w:marLeft w:val="0"/>
      <w:marRight w:val="0"/>
      <w:marTop w:val="0"/>
      <w:marBottom w:val="0"/>
      <w:divBdr>
        <w:top w:val="none" w:sz="0" w:space="0" w:color="auto"/>
        <w:left w:val="none" w:sz="0" w:space="0" w:color="auto"/>
        <w:bottom w:val="none" w:sz="0" w:space="0" w:color="auto"/>
        <w:right w:val="none" w:sz="0" w:space="0" w:color="auto"/>
      </w:divBdr>
    </w:div>
    <w:div w:id="460268224">
      <w:bodyDiv w:val="1"/>
      <w:marLeft w:val="0"/>
      <w:marRight w:val="0"/>
      <w:marTop w:val="0"/>
      <w:marBottom w:val="0"/>
      <w:divBdr>
        <w:top w:val="none" w:sz="0" w:space="0" w:color="auto"/>
        <w:left w:val="none" w:sz="0" w:space="0" w:color="auto"/>
        <w:bottom w:val="none" w:sz="0" w:space="0" w:color="auto"/>
        <w:right w:val="none" w:sz="0" w:space="0" w:color="auto"/>
      </w:divBdr>
    </w:div>
    <w:div w:id="468086496">
      <w:bodyDiv w:val="1"/>
      <w:marLeft w:val="0"/>
      <w:marRight w:val="0"/>
      <w:marTop w:val="0"/>
      <w:marBottom w:val="0"/>
      <w:divBdr>
        <w:top w:val="none" w:sz="0" w:space="0" w:color="auto"/>
        <w:left w:val="none" w:sz="0" w:space="0" w:color="auto"/>
        <w:bottom w:val="none" w:sz="0" w:space="0" w:color="auto"/>
        <w:right w:val="none" w:sz="0" w:space="0" w:color="auto"/>
      </w:divBdr>
    </w:div>
    <w:div w:id="477722944">
      <w:bodyDiv w:val="1"/>
      <w:marLeft w:val="0"/>
      <w:marRight w:val="0"/>
      <w:marTop w:val="0"/>
      <w:marBottom w:val="0"/>
      <w:divBdr>
        <w:top w:val="none" w:sz="0" w:space="0" w:color="auto"/>
        <w:left w:val="none" w:sz="0" w:space="0" w:color="auto"/>
        <w:bottom w:val="none" w:sz="0" w:space="0" w:color="auto"/>
        <w:right w:val="none" w:sz="0" w:space="0" w:color="auto"/>
      </w:divBdr>
    </w:div>
    <w:div w:id="537544445">
      <w:bodyDiv w:val="1"/>
      <w:marLeft w:val="0"/>
      <w:marRight w:val="0"/>
      <w:marTop w:val="0"/>
      <w:marBottom w:val="0"/>
      <w:divBdr>
        <w:top w:val="none" w:sz="0" w:space="0" w:color="auto"/>
        <w:left w:val="none" w:sz="0" w:space="0" w:color="auto"/>
        <w:bottom w:val="none" w:sz="0" w:space="0" w:color="auto"/>
        <w:right w:val="none" w:sz="0" w:space="0" w:color="auto"/>
      </w:divBdr>
    </w:div>
    <w:div w:id="589851264">
      <w:bodyDiv w:val="1"/>
      <w:marLeft w:val="0"/>
      <w:marRight w:val="0"/>
      <w:marTop w:val="0"/>
      <w:marBottom w:val="0"/>
      <w:divBdr>
        <w:top w:val="none" w:sz="0" w:space="0" w:color="auto"/>
        <w:left w:val="none" w:sz="0" w:space="0" w:color="auto"/>
        <w:bottom w:val="none" w:sz="0" w:space="0" w:color="auto"/>
        <w:right w:val="none" w:sz="0" w:space="0" w:color="auto"/>
      </w:divBdr>
    </w:div>
    <w:div w:id="700935989">
      <w:bodyDiv w:val="1"/>
      <w:marLeft w:val="0"/>
      <w:marRight w:val="0"/>
      <w:marTop w:val="0"/>
      <w:marBottom w:val="0"/>
      <w:divBdr>
        <w:top w:val="none" w:sz="0" w:space="0" w:color="auto"/>
        <w:left w:val="none" w:sz="0" w:space="0" w:color="auto"/>
        <w:bottom w:val="none" w:sz="0" w:space="0" w:color="auto"/>
        <w:right w:val="none" w:sz="0" w:space="0" w:color="auto"/>
      </w:divBdr>
    </w:div>
    <w:div w:id="707223899">
      <w:bodyDiv w:val="1"/>
      <w:marLeft w:val="0"/>
      <w:marRight w:val="0"/>
      <w:marTop w:val="0"/>
      <w:marBottom w:val="0"/>
      <w:divBdr>
        <w:top w:val="none" w:sz="0" w:space="0" w:color="auto"/>
        <w:left w:val="none" w:sz="0" w:space="0" w:color="auto"/>
        <w:bottom w:val="none" w:sz="0" w:space="0" w:color="auto"/>
        <w:right w:val="none" w:sz="0" w:space="0" w:color="auto"/>
      </w:divBdr>
    </w:div>
    <w:div w:id="759184518">
      <w:bodyDiv w:val="1"/>
      <w:marLeft w:val="0"/>
      <w:marRight w:val="0"/>
      <w:marTop w:val="0"/>
      <w:marBottom w:val="0"/>
      <w:divBdr>
        <w:top w:val="none" w:sz="0" w:space="0" w:color="auto"/>
        <w:left w:val="none" w:sz="0" w:space="0" w:color="auto"/>
        <w:bottom w:val="none" w:sz="0" w:space="0" w:color="auto"/>
        <w:right w:val="none" w:sz="0" w:space="0" w:color="auto"/>
      </w:divBdr>
    </w:div>
    <w:div w:id="781267395">
      <w:bodyDiv w:val="1"/>
      <w:marLeft w:val="0"/>
      <w:marRight w:val="0"/>
      <w:marTop w:val="0"/>
      <w:marBottom w:val="0"/>
      <w:divBdr>
        <w:top w:val="none" w:sz="0" w:space="0" w:color="auto"/>
        <w:left w:val="none" w:sz="0" w:space="0" w:color="auto"/>
        <w:bottom w:val="none" w:sz="0" w:space="0" w:color="auto"/>
        <w:right w:val="none" w:sz="0" w:space="0" w:color="auto"/>
      </w:divBdr>
    </w:div>
    <w:div w:id="873420684">
      <w:bodyDiv w:val="1"/>
      <w:marLeft w:val="0"/>
      <w:marRight w:val="0"/>
      <w:marTop w:val="0"/>
      <w:marBottom w:val="0"/>
      <w:divBdr>
        <w:top w:val="none" w:sz="0" w:space="0" w:color="auto"/>
        <w:left w:val="none" w:sz="0" w:space="0" w:color="auto"/>
        <w:bottom w:val="none" w:sz="0" w:space="0" w:color="auto"/>
        <w:right w:val="none" w:sz="0" w:space="0" w:color="auto"/>
      </w:divBdr>
    </w:div>
    <w:div w:id="889071069">
      <w:bodyDiv w:val="1"/>
      <w:marLeft w:val="0"/>
      <w:marRight w:val="0"/>
      <w:marTop w:val="0"/>
      <w:marBottom w:val="0"/>
      <w:divBdr>
        <w:top w:val="none" w:sz="0" w:space="0" w:color="auto"/>
        <w:left w:val="none" w:sz="0" w:space="0" w:color="auto"/>
        <w:bottom w:val="none" w:sz="0" w:space="0" w:color="auto"/>
        <w:right w:val="none" w:sz="0" w:space="0" w:color="auto"/>
      </w:divBdr>
    </w:div>
    <w:div w:id="899249078">
      <w:bodyDiv w:val="1"/>
      <w:marLeft w:val="0"/>
      <w:marRight w:val="0"/>
      <w:marTop w:val="0"/>
      <w:marBottom w:val="0"/>
      <w:divBdr>
        <w:top w:val="none" w:sz="0" w:space="0" w:color="auto"/>
        <w:left w:val="none" w:sz="0" w:space="0" w:color="auto"/>
        <w:bottom w:val="none" w:sz="0" w:space="0" w:color="auto"/>
        <w:right w:val="none" w:sz="0" w:space="0" w:color="auto"/>
      </w:divBdr>
    </w:div>
    <w:div w:id="955523691">
      <w:bodyDiv w:val="1"/>
      <w:marLeft w:val="0"/>
      <w:marRight w:val="0"/>
      <w:marTop w:val="0"/>
      <w:marBottom w:val="0"/>
      <w:divBdr>
        <w:top w:val="none" w:sz="0" w:space="0" w:color="auto"/>
        <w:left w:val="none" w:sz="0" w:space="0" w:color="auto"/>
        <w:bottom w:val="none" w:sz="0" w:space="0" w:color="auto"/>
        <w:right w:val="none" w:sz="0" w:space="0" w:color="auto"/>
      </w:divBdr>
    </w:div>
    <w:div w:id="984775383">
      <w:bodyDiv w:val="1"/>
      <w:marLeft w:val="0"/>
      <w:marRight w:val="0"/>
      <w:marTop w:val="0"/>
      <w:marBottom w:val="0"/>
      <w:divBdr>
        <w:top w:val="none" w:sz="0" w:space="0" w:color="auto"/>
        <w:left w:val="none" w:sz="0" w:space="0" w:color="auto"/>
        <w:bottom w:val="none" w:sz="0" w:space="0" w:color="auto"/>
        <w:right w:val="none" w:sz="0" w:space="0" w:color="auto"/>
      </w:divBdr>
    </w:div>
    <w:div w:id="989822612">
      <w:bodyDiv w:val="1"/>
      <w:marLeft w:val="0"/>
      <w:marRight w:val="0"/>
      <w:marTop w:val="0"/>
      <w:marBottom w:val="0"/>
      <w:divBdr>
        <w:top w:val="none" w:sz="0" w:space="0" w:color="auto"/>
        <w:left w:val="none" w:sz="0" w:space="0" w:color="auto"/>
        <w:bottom w:val="none" w:sz="0" w:space="0" w:color="auto"/>
        <w:right w:val="none" w:sz="0" w:space="0" w:color="auto"/>
      </w:divBdr>
    </w:div>
    <w:div w:id="991831486">
      <w:bodyDiv w:val="1"/>
      <w:marLeft w:val="0"/>
      <w:marRight w:val="0"/>
      <w:marTop w:val="0"/>
      <w:marBottom w:val="0"/>
      <w:divBdr>
        <w:top w:val="none" w:sz="0" w:space="0" w:color="auto"/>
        <w:left w:val="none" w:sz="0" w:space="0" w:color="auto"/>
        <w:bottom w:val="none" w:sz="0" w:space="0" w:color="auto"/>
        <w:right w:val="none" w:sz="0" w:space="0" w:color="auto"/>
      </w:divBdr>
    </w:div>
    <w:div w:id="1001590512">
      <w:bodyDiv w:val="1"/>
      <w:marLeft w:val="0"/>
      <w:marRight w:val="0"/>
      <w:marTop w:val="0"/>
      <w:marBottom w:val="0"/>
      <w:divBdr>
        <w:top w:val="none" w:sz="0" w:space="0" w:color="auto"/>
        <w:left w:val="none" w:sz="0" w:space="0" w:color="auto"/>
        <w:bottom w:val="none" w:sz="0" w:space="0" w:color="auto"/>
        <w:right w:val="none" w:sz="0" w:space="0" w:color="auto"/>
      </w:divBdr>
    </w:div>
    <w:div w:id="1002322389">
      <w:bodyDiv w:val="1"/>
      <w:marLeft w:val="0"/>
      <w:marRight w:val="0"/>
      <w:marTop w:val="0"/>
      <w:marBottom w:val="0"/>
      <w:divBdr>
        <w:top w:val="none" w:sz="0" w:space="0" w:color="auto"/>
        <w:left w:val="none" w:sz="0" w:space="0" w:color="auto"/>
        <w:bottom w:val="none" w:sz="0" w:space="0" w:color="auto"/>
        <w:right w:val="none" w:sz="0" w:space="0" w:color="auto"/>
      </w:divBdr>
    </w:div>
    <w:div w:id="1008213857">
      <w:bodyDiv w:val="1"/>
      <w:marLeft w:val="0"/>
      <w:marRight w:val="0"/>
      <w:marTop w:val="0"/>
      <w:marBottom w:val="0"/>
      <w:divBdr>
        <w:top w:val="none" w:sz="0" w:space="0" w:color="auto"/>
        <w:left w:val="none" w:sz="0" w:space="0" w:color="auto"/>
        <w:bottom w:val="none" w:sz="0" w:space="0" w:color="auto"/>
        <w:right w:val="none" w:sz="0" w:space="0" w:color="auto"/>
      </w:divBdr>
    </w:div>
    <w:div w:id="1061749729">
      <w:bodyDiv w:val="1"/>
      <w:marLeft w:val="0"/>
      <w:marRight w:val="0"/>
      <w:marTop w:val="0"/>
      <w:marBottom w:val="0"/>
      <w:divBdr>
        <w:top w:val="none" w:sz="0" w:space="0" w:color="auto"/>
        <w:left w:val="none" w:sz="0" w:space="0" w:color="auto"/>
        <w:bottom w:val="none" w:sz="0" w:space="0" w:color="auto"/>
        <w:right w:val="none" w:sz="0" w:space="0" w:color="auto"/>
      </w:divBdr>
    </w:div>
    <w:div w:id="1063018484">
      <w:bodyDiv w:val="1"/>
      <w:marLeft w:val="0"/>
      <w:marRight w:val="0"/>
      <w:marTop w:val="0"/>
      <w:marBottom w:val="0"/>
      <w:divBdr>
        <w:top w:val="none" w:sz="0" w:space="0" w:color="auto"/>
        <w:left w:val="none" w:sz="0" w:space="0" w:color="auto"/>
        <w:bottom w:val="none" w:sz="0" w:space="0" w:color="auto"/>
        <w:right w:val="none" w:sz="0" w:space="0" w:color="auto"/>
      </w:divBdr>
    </w:div>
    <w:div w:id="1064185335">
      <w:bodyDiv w:val="1"/>
      <w:marLeft w:val="0"/>
      <w:marRight w:val="0"/>
      <w:marTop w:val="0"/>
      <w:marBottom w:val="0"/>
      <w:divBdr>
        <w:top w:val="none" w:sz="0" w:space="0" w:color="auto"/>
        <w:left w:val="none" w:sz="0" w:space="0" w:color="auto"/>
        <w:bottom w:val="none" w:sz="0" w:space="0" w:color="auto"/>
        <w:right w:val="none" w:sz="0" w:space="0" w:color="auto"/>
      </w:divBdr>
    </w:div>
    <w:div w:id="1085031940">
      <w:bodyDiv w:val="1"/>
      <w:marLeft w:val="0"/>
      <w:marRight w:val="0"/>
      <w:marTop w:val="0"/>
      <w:marBottom w:val="0"/>
      <w:divBdr>
        <w:top w:val="none" w:sz="0" w:space="0" w:color="auto"/>
        <w:left w:val="none" w:sz="0" w:space="0" w:color="auto"/>
        <w:bottom w:val="none" w:sz="0" w:space="0" w:color="auto"/>
        <w:right w:val="none" w:sz="0" w:space="0" w:color="auto"/>
      </w:divBdr>
    </w:div>
    <w:div w:id="1157843416">
      <w:bodyDiv w:val="1"/>
      <w:marLeft w:val="0"/>
      <w:marRight w:val="0"/>
      <w:marTop w:val="0"/>
      <w:marBottom w:val="0"/>
      <w:divBdr>
        <w:top w:val="none" w:sz="0" w:space="0" w:color="auto"/>
        <w:left w:val="none" w:sz="0" w:space="0" w:color="auto"/>
        <w:bottom w:val="none" w:sz="0" w:space="0" w:color="auto"/>
        <w:right w:val="none" w:sz="0" w:space="0" w:color="auto"/>
      </w:divBdr>
    </w:div>
    <w:div w:id="1190800789">
      <w:bodyDiv w:val="1"/>
      <w:marLeft w:val="0"/>
      <w:marRight w:val="0"/>
      <w:marTop w:val="0"/>
      <w:marBottom w:val="0"/>
      <w:divBdr>
        <w:top w:val="none" w:sz="0" w:space="0" w:color="auto"/>
        <w:left w:val="none" w:sz="0" w:space="0" w:color="auto"/>
        <w:bottom w:val="none" w:sz="0" w:space="0" w:color="auto"/>
        <w:right w:val="none" w:sz="0" w:space="0" w:color="auto"/>
      </w:divBdr>
    </w:div>
    <w:div w:id="1193803884">
      <w:bodyDiv w:val="1"/>
      <w:marLeft w:val="0"/>
      <w:marRight w:val="0"/>
      <w:marTop w:val="0"/>
      <w:marBottom w:val="0"/>
      <w:divBdr>
        <w:top w:val="none" w:sz="0" w:space="0" w:color="auto"/>
        <w:left w:val="none" w:sz="0" w:space="0" w:color="auto"/>
        <w:bottom w:val="none" w:sz="0" w:space="0" w:color="auto"/>
        <w:right w:val="none" w:sz="0" w:space="0" w:color="auto"/>
      </w:divBdr>
    </w:div>
    <w:div w:id="1232083384">
      <w:bodyDiv w:val="1"/>
      <w:marLeft w:val="0"/>
      <w:marRight w:val="0"/>
      <w:marTop w:val="0"/>
      <w:marBottom w:val="0"/>
      <w:divBdr>
        <w:top w:val="none" w:sz="0" w:space="0" w:color="auto"/>
        <w:left w:val="none" w:sz="0" w:space="0" w:color="auto"/>
        <w:bottom w:val="none" w:sz="0" w:space="0" w:color="auto"/>
        <w:right w:val="none" w:sz="0" w:space="0" w:color="auto"/>
      </w:divBdr>
    </w:div>
    <w:div w:id="1234193924">
      <w:bodyDiv w:val="1"/>
      <w:marLeft w:val="0"/>
      <w:marRight w:val="0"/>
      <w:marTop w:val="0"/>
      <w:marBottom w:val="0"/>
      <w:divBdr>
        <w:top w:val="none" w:sz="0" w:space="0" w:color="auto"/>
        <w:left w:val="none" w:sz="0" w:space="0" w:color="auto"/>
        <w:bottom w:val="none" w:sz="0" w:space="0" w:color="auto"/>
        <w:right w:val="none" w:sz="0" w:space="0" w:color="auto"/>
      </w:divBdr>
    </w:div>
    <w:div w:id="1290552552">
      <w:bodyDiv w:val="1"/>
      <w:marLeft w:val="0"/>
      <w:marRight w:val="0"/>
      <w:marTop w:val="0"/>
      <w:marBottom w:val="0"/>
      <w:divBdr>
        <w:top w:val="none" w:sz="0" w:space="0" w:color="auto"/>
        <w:left w:val="none" w:sz="0" w:space="0" w:color="auto"/>
        <w:bottom w:val="none" w:sz="0" w:space="0" w:color="auto"/>
        <w:right w:val="none" w:sz="0" w:space="0" w:color="auto"/>
      </w:divBdr>
    </w:div>
    <w:div w:id="1301883934">
      <w:bodyDiv w:val="1"/>
      <w:marLeft w:val="0"/>
      <w:marRight w:val="0"/>
      <w:marTop w:val="0"/>
      <w:marBottom w:val="0"/>
      <w:divBdr>
        <w:top w:val="none" w:sz="0" w:space="0" w:color="auto"/>
        <w:left w:val="none" w:sz="0" w:space="0" w:color="auto"/>
        <w:bottom w:val="none" w:sz="0" w:space="0" w:color="auto"/>
        <w:right w:val="none" w:sz="0" w:space="0" w:color="auto"/>
      </w:divBdr>
    </w:div>
    <w:div w:id="1379088599">
      <w:bodyDiv w:val="1"/>
      <w:marLeft w:val="0"/>
      <w:marRight w:val="0"/>
      <w:marTop w:val="0"/>
      <w:marBottom w:val="0"/>
      <w:divBdr>
        <w:top w:val="none" w:sz="0" w:space="0" w:color="auto"/>
        <w:left w:val="none" w:sz="0" w:space="0" w:color="auto"/>
        <w:bottom w:val="none" w:sz="0" w:space="0" w:color="auto"/>
        <w:right w:val="none" w:sz="0" w:space="0" w:color="auto"/>
      </w:divBdr>
    </w:div>
    <w:div w:id="1443920434">
      <w:bodyDiv w:val="1"/>
      <w:marLeft w:val="0"/>
      <w:marRight w:val="0"/>
      <w:marTop w:val="0"/>
      <w:marBottom w:val="0"/>
      <w:divBdr>
        <w:top w:val="none" w:sz="0" w:space="0" w:color="auto"/>
        <w:left w:val="none" w:sz="0" w:space="0" w:color="auto"/>
        <w:bottom w:val="none" w:sz="0" w:space="0" w:color="auto"/>
        <w:right w:val="none" w:sz="0" w:space="0" w:color="auto"/>
      </w:divBdr>
    </w:div>
    <w:div w:id="1450472036">
      <w:bodyDiv w:val="1"/>
      <w:marLeft w:val="0"/>
      <w:marRight w:val="0"/>
      <w:marTop w:val="0"/>
      <w:marBottom w:val="0"/>
      <w:divBdr>
        <w:top w:val="none" w:sz="0" w:space="0" w:color="auto"/>
        <w:left w:val="none" w:sz="0" w:space="0" w:color="auto"/>
        <w:bottom w:val="none" w:sz="0" w:space="0" w:color="auto"/>
        <w:right w:val="none" w:sz="0" w:space="0" w:color="auto"/>
      </w:divBdr>
    </w:div>
    <w:div w:id="1466046038">
      <w:bodyDiv w:val="1"/>
      <w:marLeft w:val="0"/>
      <w:marRight w:val="0"/>
      <w:marTop w:val="0"/>
      <w:marBottom w:val="0"/>
      <w:divBdr>
        <w:top w:val="none" w:sz="0" w:space="0" w:color="auto"/>
        <w:left w:val="none" w:sz="0" w:space="0" w:color="auto"/>
        <w:bottom w:val="none" w:sz="0" w:space="0" w:color="auto"/>
        <w:right w:val="none" w:sz="0" w:space="0" w:color="auto"/>
      </w:divBdr>
    </w:div>
    <w:div w:id="1518033136">
      <w:bodyDiv w:val="1"/>
      <w:marLeft w:val="0"/>
      <w:marRight w:val="0"/>
      <w:marTop w:val="0"/>
      <w:marBottom w:val="0"/>
      <w:divBdr>
        <w:top w:val="none" w:sz="0" w:space="0" w:color="auto"/>
        <w:left w:val="none" w:sz="0" w:space="0" w:color="auto"/>
        <w:bottom w:val="none" w:sz="0" w:space="0" w:color="auto"/>
        <w:right w:val="none" w:sz="0" w:space="0" w:color="auto"/>
      </w:divBdr>
    </w:div>
    <w:div w:id="1518227745">
      <w:bodyDiv w:val="1"/>
      <w:marLeft w:val="0"/>
      <w:marRight w:val="0"/>
      <w:marTop w:val="0"/>
      <w:marBottom w:val="0"/>
      <w:divBdr>
        <w:top w:val="none" w:sz="0" w:space="0" w:color="auto"/>
        <w:left w:val="none" w:sz="0" w:space="0" w:color="auto"/>
        <w:bottom w:val="none" w:sz="0" w:space="0" w:color="auto"/>
        <w:right w:val="none" w:sz="0" w:space="0" w:color="auto"/>
      </w:divBdr>
    </w:div>
    <w:div w:id="1519807143">
      <w:bodyDiv w:val="1"/>
      <w:marLeft w:val="0"/>
      <w:marRight w:val="0"/>
      <w:marTop w:val="0"/>
      <w:marBottom w:val="0"/>
      <w:divBdr>
        <w:top w:val="none" w:sz="0" w:space="0" w:color="auto"/>
        <w:left w:val="none" w:sz="0" w:space="0" w:color="auto"/>
        <w:bottom w:val="none" w:sz="0" w:space="0" w:color="auto"/>
        <w:right w:val="none" w:sz="0" w:space="0" w:color="auto"/>
      </w:divBdr>
    </w:div>
    <w:div w:id="1521971327">
      <w:bodyDiv w:val="1"/>
      <w:marLeft w:val="0"/>
      <w:marRight w:val="0"/>
      <w:marTop w:val="0"/>
      <w:marBottom w:val="0"/>
      <w:divBdr>
        <w:top w:val="none" w:sz="0" w:space="0" w:color="auto"/>
        <w:left w:val="none" w:sz="0" w:space="0" w:color="auto"/>
        <w:bottom w:val="none" w:sz="0" w:space="0" w:color="auto"/>
        <w:right w:val="none" w:sz="0" w:space="0" w:color="auto"/>
      </w:divBdr>
    </w:div>
    <w:div w:id="1580217052">
      <w:bodyDiv w:val="1"/>
      <w:marLeft w:val="0"/>
      <w:marRight w:val="0"/>
      <w:marTop w:val="0"/>
      <w:marBottom w:val="0"/>
      <w:divBdr>
        <w:top w:val="none" w:sz="0" w:space="0" w:color="auto"/>
        <w:left w:val="none" w:sz="0" w:space="0" w:color="auto"/>
        <w:bottom w:val="none" w:sz="0" w:space="0" w:color="auto"/>
        <w:right w:val="none" w:sz="0" w:space="0" w:color="auto"/>
      </w:divBdr>
    </w:div>
    <w:div w:id="1623071535">
      <w:bodyDiv w:val="1"/>
      <w:marLeft w:val="0"/>
      <w:marRight w:val="0"/>
      <w:marTop w:val="0"/>
      <w:marBottom w:val="0"/>
      <w:divBdr>
        <w:top w:val="none" w:sz="0" w:space="0" w:color="auto"/>
        <w:left w:val="none" w:sz="0" w:space="0" w:color="auto"/>
        <w:bottom w:val="none" w:sz="0" w:space="0" w:color="auto"/>
        <w:right w:val="none" w:sz="0" w:space="0" w:color="auto"/>
      </w:divBdr>
    </w:div>
    <w:div w:id="1626737137">
      <w:bodyDiv w:val="1"/>
      <w:marLeft w:val="0"/>
      <w:marRight w:val="0"/>
      <w:marTop w:val="0"/>
      <w:marBottom w:val="0"/>
      <w:divBdr>
        <w:top w:val="none" w:sz="0" w:space="0" w:color="auto"/>
        <w:left w:val="none" w:sz="0" w:space="0" w:color="auto"/>
        <w:bottom w:val="none" w:sz="0" w:space="0" w:color="auto"/>
        <w:right w:val="none" w:sz="0" w:space="0" w:color="auto"/>
      </w:divBdr>
    </w:div>
    <w:div w:id="1673755027">
      <w:bodyDiv w:val="1"/>
      <w:marLeft w:val="0"/>
      <w:marRight w:val="0"/>
      <w:marTop w:val="0"/>
      <w:marBottom w:val="0"/>
      <w:divBdr>
        <w:top w:val="none" w:sz="0" w:space="0" w:color="auto"/>
        <w:left w:val="none" w:sz="0" w:space="0" w:color="auto"/>
        <w:bottom w:val="none" w:sz="0" w:space="0" w:color="auto"/>
        <w:right w:val="none" w:sz="0" w:space="0" w:color="auto"/>
      </w:divBdr>
    </w:div>
    <w:div w:id="1720741790">
      <w:bodyDiv w:val="1"/>
      <w:marLeft w:val="0"/>
      <w:marRight w:val="0"/>
      <w:marTop w:val="0"/>
      <w:marBottom w:val="0"/>
      <w:divBdr>
        <w:top w:val="none" w:sz="0" w:space="0" w:color="auto"/>
        <w:left w:val="none" w:sz="0" w:space="0" w:color="auto"/>
        <w:bottom w:val="none" w:sz="0" w:space="0" w:color="auto"/>
        <w:right w:val="none" w:sz="0" w:space="0" w:color="auto"/>
      </w:divBdr>
    </w:div>
    <w:div w:id="1785227603">
      <w:bodyDiv w:val="1"/>
      <w:marLeft w:val="0"/>
      <w:marRight w:val="0"/>
      <w:marTop w:val="0"/>
      <w:marBottom w:val="0"/>
      <w:divBdr>
        <w:top w:val="none" w:sz="0" w:space="0" w:color="auto"/>
        <w:left w:val="none" w:sz="0" w:space="0" w:color="auto"/>
        <w:bottom w:val="none" w:sz="0" w:space="0" w:color="auto"/>
        <w:right w:val="none" w:sz="0" w:space="0" w:color="auto"/>
      </w:divBdr>
    </w:div>
    <w:div w:id="1800760350">
      <w:bodyDiv w:val="1"/>
      <w:marLeft w:val="0"/>
      <w:marRight w:val="0"/>
      <w:marTop w:val="0"/>
      <w:marBottom w:val="0"/>
      <w:divBdr>
        <w:top w:val="none" w:sz="0" w:space="0" w:color="auto"/>
        <w:left w:val="none" w:sz="0" w:space="0" w:color="auto"/>
        <w:bottom w:val="none" w:sz="0" w:space="0" w:color="auto"/>
        <w:right w:val="none" w:sz="0" w:space="0" w:color="auto"/>
      </w:divBdr>
    </w:div>
    <w:div w:id="1805731355">
      <w:bodyDiv w:val="1"/>
      <w:marLeft w:val="0"/>
      <w:marRight w:val="0"/>
      <w:marTop w:val="0"/>
      <w:marBottom w:val="0"/>
      <w:divBdr>
        <w:top w:val="none" w:sz="0" w:space="0" w:color="auto"/>
        <w:left w:val="none" w:sz="0" w:space="0" w:color="auto"/>
        <w:bottom w:val="none" w:sz="0" w:space="0" w:color="auto"/>
        <w:right w:val="none" w:sz="0" w:space="0" w:color="auto"/>
      </w:divBdr>
    </w:div>
    <w:div w:id="1808008914">
      <w:bodyDiv w:val="1"/>
      <w:marLeft w:val="0"/>
      <w:marRight w:val="0"/>
      <w:marTop w:val="0"/>
      <w:marBottom w:val="0"/>
      <w:divBdr>
        <w:top w:val="none" w:sz="0" w:space="0" w:color="auto"/>
        <w:left w:val="none" w:sz="0" w:space="0" w:color="auto"/>
        <w:bottom w:val="none" w:sz="0" w:space="0" w:color="auto"/>
        <w:right w:val="none" w:sz="0" w:space="0" w:color="auto"/>
      </w:divBdr>
    </w:div>
    <w:div w:id="1893423925">
      <w:bodyDiv w:val="1"/>
      <w:marLeft w:val="0"/>
      <w:marRight w:val="0"/>
      <w:marTop w:val="0"/>
      <w:marBottom w:val="0"/>
      <w:divBdr>
        <w:top w:val="none" w:sz="0" w:space="0" w:color="auto"/>
        <w:left w:val="none" w:sz="0" w:space="0" w:color="auto"/>
        <w:bottom w:val="none" w:sz="0" w:space="0" w:color="auto"/>
        <w:right w:val="none" w:sz="0" w:space="0" w:color="auto"/>
      </w:divBdr>
    </w:div>
    <w:div w:id="1996030144">
      <w:bodyDiv w:val="1"/>
      <w:marLeft w:val="0"/>
      <w:marRight w:val="0"/>
      <w:marTop w:val="0"/>
      <w:marBottom w:val="0"/>
      <w:divBdr>
        <w:top w:val="none" w:sz="0" w:space="0" w:color="auto"/>
        <w:left w:val="none" w:sz="0" w:space="0" w:color="auto"/>
        <w:bottom w:val="none" w:sz="0" w:space="0" w:color="auto"/>
        <w:right w:val="none" w:sz="0" w:space="0" w:color="auto"/>
      </w:divBdr>
    </w:div>
    <w:div w:id="2013408773">
      <w:bodyDiv w:val="1"/>
      <w:marLeft w:val="0"/>
      <w:marRight w:val="0"/>
      <w:marTop w:val="0"/>
      <w:marBottom w:val="0"/>
      <w:divBdr>
        <w:top w:val="none" w:sz="0" w:space="0" w:color="auto"/>
        <w:left w:val="none" w:sz="0" w:space="0" w:color="auto"/>
        <w:bottom w:val="none" w:sz="0" w:space="0" w:color="auto"/>
        <w:right w:val="none" w:sz="0" w:space="0" w:color="auto"/>
      </w:divBdr>
    </w:div>
    <w:div w:id="2022197151">
      <w:bodyDiv w:val="1"/>
      <w:marLeft w:val="0"/>
      <w:marRight w:val="0"/>
      <w:marTop w:val="0"/>
      <w:marBottom w:val="0"/>
      <w:divBdr>
        <w:top w:val="none" w:sz="0" w:space="0" w:color="auto"/>
        <w:left w:val="none" w:sz="0" w:space="0" w:color="auto"/>
        <w:bottom w:val="none" w:sz="0" w:space="0" w:color="auto"/>
        <w:right w:val="none" w:sz="0" w:space="0" w:color="auto"/>
      </w:divBdr>
    </w:div>
    <w:div w:id="2074619572">
      <w:bodyDiv w:val="1"/>
      <w:marLeft w:val="0"/>
      <w:marRight w:val="0"/>
      <w:marTop w:val="0"/>
      <w:marBottom w:val="0"/>
      <w:divBdr>
        <w:top w:val="none" w:sz="0" w:space="0" w:color="auto"/>
        <w:left w:val="none" w:sz="0" w:space="0" w:color="auto"/>
        <w:bottom w:val="none" w:sz="0" w:space="0" w:color="auto"/>
        <w:right w:val="none" w:sz="0" w:space="0" w:color="auto"/>
      </w:divBdr>
    </w:div>
    <w:div w:id="2081710030">
      <w:bodyDiv w:val="1"/>
      <w:marLeft w:val="0"/>
      <w:marRight w:val="0"/>
      <w:marTop w:val="0"/>
      <w:marBottom w:val="0"/>
      <w:divBdr>
        <w:top w:val="none" w:sz="0" w:space="0" w:color="auto"/>
        <w:left w:val="none" w:sz="0" w:space="0" w:color="auto"/>
        <w:bottom w:val="none" w:sz="0" w:space="0" w:color="auto"/>
        <w:right w:val="none" w:sz="0" w:space="0" w:color="auto"/>
      </w:divBdr>
    </w:div>
    <w:div w:id="21075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styles" Target="styles.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webSettings" Target="webSettings.xml"/><Relationship Id="rId24" Type="http://schemas.openxmlformats.org/officeDocument/2006/relationships/hyperlink" Target="https://www.fda.gov/animal-veterinary/outbreaks-and-advisories/fda-advisory-do-not-feed-two-lots-darwins-natural-pet-products-chicken-recipe-cat-food-due" TargetMode="External"/><Relationship Id="rId15" Type="http://schemas.openxmlformats.org/officeDocument/2006/relationships/hyperlink" Target="https://webgate.ec.europa.eu/rasff-window/screen/notification/882114" TargetMode="External"/><Relationship Id="rId16" Type="http://schemas.openxmlformats.org/officeDocument/2006/relationships/hyperlink" Target="https://webgate.ec.europa.eu/rasff-window/screen/notification/882399" TargetMode="External"/><Relationship Id="rId21" Type="http://schemas.openxmlformats.org/officeDocument/2006/relationships/hyperlink" Target="https://webgate.ec.europa.eu/rasff-window/screen/notification/882537" TargetMode="External"/><Relationship Id="rId22" Type="http://schemas.openxmlformats.org/officeDocument/2006/relationships/hyperlink" Target="https://webgate.ec.europa.eu/rasff-window/screen/notification/882406" TargetMode="External"/><Relationship Id="rId23" Type="http://schemas.openxmlformats.org/officeDocument/2006/relationships/hyperlink" Target="https://webgate.ec.europa.eu/rasff-window/screen/notification/882702" TargetMode="External"/><Relationship Id="rId31" Type="http://schemas.openxmlformats.org/officeDocument/2006/relationships/hyperlink" Target="https://webgate.ec.europa.eu/rasff-window/screen/notification/882737" TargetMode="External"/><Relationship Id="rId32" Type="http://schemas.openxmlformats.org/officeDocument/2006/relationships/hyperlink" Target="https://efsa.onlinelibrary.wiley.com/doi/10.2903/j.efsa.2026.10366" TargetMode="External"/><Relationship Id="rId33" Type="http://schemas.openxmlformats.org/officeDocument/2006/relationships/hyperlink" Target="https://efsa.onlinelibrary.wiley.com/doi/10.2903/j.efsa.2026.10391" TargetMode="External"/><Relationship Id="rId34" Type="http://schemas.openxmlformats.org/officeDocument/2006/relationships/hyperlink" Target="https://www.moa.gov.cn/govpublic/xmsyj/202610/t20261026_6488939.htm" TargetMode="External"/><Relationship Id="rId35" Type="http://schemas.openxmlformats.org/officeDocument/2006/relationships/hyperlink" Target="https://www.prnasia.com/story/553848-1.shtml" TargetMode="External"/><Relationship Id="rId36" Type="http://schemas.openxmlformats.org/officeDocument/2006/relationships/hyperlink" Target="https://www.petfoodprocessing.net/articles/21025-volare-completes-insect-protein-production-facil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Default Theme">
  <a:themeElements>
    <a:clrScheme name="SGS">
      <a:dk1>
        <a:sysClr val="windowText" lastClr="000000"/>
      </a:dk1>
      <a:lt1>
        <a:sysClr val="window" lastClr="FFFFFF"/>
      </a:lt1>
      <a:dk2>
        <a:srgbClr val="000000"/>
      </a:dk2>
      <a:lt2>
        <a:srgbClr val="EEECE1"/>
      </a:lt2>
      <a:accent1>
        <a:srgbClr val="363636"/>
      </a:accent1>
      <a:accent2>
        <a:srgbClr val="848685"/>
      </a:accent2>
      <a:accent3>
        <a:srgbClr val="FF6600"/>
      </a:accent3>
      <a:accent4>
        <a:srgbClr val="BCBCBC"/>
      </a:accent4>
      <a:accent5>
        <a:srgbClr val="FF9900"/>
      </a:accent5>
      <a:accent6>
        <a:srgbClr val="FF0000"/>
      </a:accent6>
      <a:hlink>
        <a:srgbClr val="FF0000"/>
      </a:hlink>
      <a:folHlink>
        <a:srgbClr val="BCBCBC"/>
      </a:folHlink>
    </a:clrScheme>
    <a:fontScheme name="default">
      <a:majorFont>
        <a:latin typeface="黑体"/>
        <a:ea typeface="宋体"/>
        <a:cs typeface="宋体"/>
      </a:majorFont>
      <a:minorFont>
        <a:latin typeface="黑体"/>
        <a:ea typeface="宋体"/>
        <a:cs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宋体" pitchFamily="18"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宋体" pitchFamily="18" charset="0"/>
          </a:defRPr>
        </a:defPPr>
      </a:lstStyle>
    </a:lnDef>
  </a:objectDefaults>
  <a:extraClrSchemeLst>
    <a:extraClrScheme>
      <a:clrScheme name="default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default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default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default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default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default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default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2</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宠物食品与动物饲料行业周报</dc:title>
  <dc:subject>2026年10月23日19:00（不含）至10月30日19:00（含）</dc:subject>
  <dc:creator>Neil Yu</dc:creator>
  <cp:keywords/>
  <dc:description/>
  <cp:lastModifiedBy>Neil Yu</cp:lastModifiedBy>
  <cp:revision>11</cp:revision>
  <cp:lastPrinted>2025-02-06T01:14:00Z</cp:lastPrinted>
  <dcterms:created xsi:type="dcterms:W3CDTF">2025-02-06T00:57:00Z</dcterms:created>
  <dcterms:modified xsi:type="dcterms:W3CDTF">2025-02-06T07:40:00Z</dcterms:modified>
</cp:coreProperties>
</file>