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CEE1" w14:textId="77777777">
      <w:pPr>
        <w:pStyle w:val="aa"/>
        <w:spacing w:after="140" w:line="640" w:lineRule="exact"/>
        <w:wordWrap w:val="0"/>
      </w:pPr>
      <w:r>
        <w:t>分析测试标准资讯周报（内部测试版）</w:t>
      </w:r>
    </w:p>
    <w:p w14:paraId="1DF36016" w14:textId="77777777">
      <w:pPr>
        <w:pStyle w:val="ac"/>
        <w:spacing w:after="160" w:line="320" w:lineRule="exact"/>
        <w:wordWrap w:val="0"/>
      </w:pPr>
      <w:r>
        <w:t>2026年9月4日16:30至9月11日16:30（北京时间）</w:t>
      </w:r>
    </w:p>
    <w:p w14:paraId="1CB9F75F" w14:textId="77777777">
      <w:pPr>
        <w:pStyle w:val="1"/>
        <w:spacing w:before="200" w:line="440" w:lineRule="exact"/>
      </w:pPr>
      <w:r>
        <w:t>本期要点速览</w:t>
      </w:r>
    </w:p>
    <w:tbl>
      <w:tblPr>
        <w:tblW w:w="9639"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125" w:type="dxa"/>
          <w:left w:w="125" w:type="dxa"/>
          <w:bottom w:w="125" w:type="dxa"/>
          <w:right w:w="125" w:type="dxa"/>
        </w:tblCellMar>
        <w:tblLook w:val="04A0" w:firstRow="1" w:lastRow="0" w:firstColumn="1" w:lastColumn="0" w:noHBand="0" w:noVBand="1"/>
      </w:tblPr>
      <w:tblGrid>
        <w:gridCol w:w="2778"/>
        <w:gridCol w:w="6861"/>
      </w:tblGrid>
      <w:tr w14:paraId="086449A1" w14:textId="77777777">
        <w:trPr>
          <w:cantSplit/>
          <w:tblHeader/>
        </w:trPr>
        <w:tc>
          <w:tcPr>
            <w:tcW w:w="2778" w:type="dxa"/>
            <w:shd w:val="clear" w:color="auto" w:fill="E8EEF3"/>
            <w:vAlign w:val="center"/>
          </w:tcPr>
          <w:p w14:paraId="2553C703" w14:textId="77777777">
            <w:pPr>
              <w:spacing w:after="60" w:line="360" w:lineRule="exact"/>
            </w:pPr>
            <w:r>
              <w:rPr>
                <w:rFonts w:ascii="黑体" w:eastAsia="黑体" w:hAnsi="黑体" w:cs="黑体"/>
                <w:b/>
                <w:bCs/>
                <w:sz w:val="23"/>
                <w:szCs w:val="23"/>
              </w:rPr>
              <w:t>栏目</w:t>
            </w:r>
          </w:p>
        </w:tc>
        <w:tc>
          <w:tcPr>
            <w:tcW w:w="6860" w:type="dxa"/>
            <w:shd w:val="clear" w:color="auto" w:fill="E8EEF3"/>
            <w:vAlign w:val="center"/>
          </w:tcPr>
          <w:p w14:paraId="1A068D37" w14:textId="77777777">
            <w:pPr>
              <w:spacing w:after="60" w:line="360" w:lineRule="exact"/>
            </w:pPr>
            <w:r>
              <w:rPr>
                <w:rFonts w:ascii="黑体" w:eastAsia="黑体" w:hAnsi="黑体" w:cs="黑体"/>
                <w:b/>
                <w:bCs/>
                <w:sz w:val="23"/>
                <w:szCs w:val="23"/>
              </w:rPr>
              <w:t>本期要点</w:t>
            </w:r>
          </w:p>
        </w:tc>
      </w:tr>
      <w:tr w14:paraId="0DAE04B9" w14:textId="77777777">
        <w:trPr>
          <w:cantSplit/>
        </w:trPr>
        <w:tc>
          <w:tcPr>
            <w:tcW w:w="2778" w:type="dxa"/>
            <w:vAlign w:val="center"/>
          </w:tcPr>
          <w:p w14:paraId="0A696661" w14:textId="77777777">
            <w:pPr>
              <w:spacing w:after="60" w:line="360" w:lineRule="exact"/>
              <w:wordWrap w:val="0"/>
            </w:pPr>
            <w:r>
              <w:rPr>
                <w:rFonts w:ascii="黑体" w:eastAsia="黑体" w:hAnsi="黑体" w:cs="黑体"/>
                <w:b/>
                <w:bCs/>
                <w:sz w:val="23"/>
                <w:szCs w:val="23"/>
              </w:rPr>
              <w:t>一、国内方法标准与监管检测动态</w:t>
            </w:r>
          </w:p>
        </w:tc>
        <w:tc>
          <w:tcPr>
            <w:tcW w:w="6860" w:type="dxa"/>
            <w:vAlign w:val="center"/>
          </w:tcPr>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三项粮油检验方法列入2027年3月废止清单，需提前核查方法引用。</w:t>
            </w:r>
          </w:p>
        </w:tc>
      </w:tr>
      <w:tr w14:paraId="3D7E9BE7" w14:textId="77777777">
        <w:trPr>
          <w:cantSplit/>
        </w:trPr>
        <w:tc>
          <w:tcPr>
            <w:tcW w:w="2778" w:type="dxa"/>
            <w:vAlign w:val="center"/>
          </w:tcPr>
          <w:p w14:paraId="67F7E866" w14:textId="77777777">
            <w:pPr>
              <w:spacing w:after="60" w:line="360" w:lineRule="exact"/>
              <w:wordWrap w:val="0"/>
            </w:pPr>
            <w:r>
              <w:rPr>
                <w:rFonts w:ascii="黑体" w:eastAsia="黑体" w:hAnsi="黑体" w:cs="黑体"/>
                <w:b/>
                <w:bCs/>
                <w:sz w:val="23"/>
                <w:szCs w:val="23"/>
              </w:rPr>
              <w:t>二、国际标准与官方方法进展</w:t>
            </w:r>
          </w:p>
        </w:tc>
        <w:tc>
          <w:tcPr>
            <w:tcW w:w="6860" w:type="dxa"/>
            <w:vAlign w:val="center"/>
          </w:tcPr>
          <w:p w14:paraId="066E3FEC" w14:textId="77777777">
            <w:pPr>
              <w:spacing w:after="60" w:line="360" w:lineRule="exact"/>
              <w:wordWrap w:val="0"/>
            </w:pPr>
            <w:r>
              <w:rPr>
                <w:sz w:val="23"/>
                <w:szCs w:val="23"/>
              </w:rPr>
              <w:t>本期暂无可刊发条目。</w:t>
            </w:r>
          </w:p>
        </w:tc>
      </w:tr>
      <w:tr w14:paraId="716A2FD7" w14:textId="77777777">
        <w:trPr>
          <w:cantSplit/>
        </w:trPr>
        <w:tc>
          <w:tcPr>
            <w:tcW w:w="2778" w:type="dxa"/>
            <w:vAlign w:val="center"/>
          </w:tcPr>
          <w:p w14:paraId="3D2FCD93" w14:textId="77777777">
            <w:pPr>
              <w:spacing w:after="60" w:line="360" w:lineRule="exact"/>
              <w:wordWrap w:val="0"/>
            </w:pPr>
            <w:r>
              <w:rPr>
                <w:rFonts w:ascii="黑体" w:eastAsia="黑体" w:hAnsi="黑体" w:cs="黑体"/>
                <w:b/>
                <w:bCs/>
                <w:sz w:val="23"/>
                <w:szCs w:val="23"/>
              </w:rPr>
              <w:t>三、验证研究与新分析技术</w:t>
            </w:r>
          </w:p>
        </w:tc>
        <w:tc>
          <w:tcPr>
            <w:tcW w:w="6860" w:type="dxa"/>
            <w:vAlign w:val="center"/>
          </w:tcPr>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多茶类农残研究结合基质匹配与过程内标，改善跨茶类定量一致性。</w:t>
            </w:r>
          </w:p>
        </w:tc>
      </w:tr>
      <w:tr w14:paraId="30568B6B" w14:textId="77777777">
        <w:trPr>
          <w:cantSplit/>
        </w:trPr>
        <w:tc>
          <w:tcPr>
            <w:tcW w:w="2778" w:type="dxa"/>
            <w:vAlign w:val="center"/>
          </w:tcPr>
          <w:p w14:paraId="11BA2FBD" w14:textId="77777777">
            <w:pPr>
              <w:spacing w:after="60" w:line="360" w:lineRule="exact"/>
              <w:wordWrap w:val="0"/>
            </w:pPr>
            <w:r>
              <w:rPr>
                <w:rFonts w:ascii="黑体" w:eastAsia="黑体" w:hAnsi="黑体" w:cs="黑体"/>
                <w:b/>
                <w:bCs/>
                <w:sz w:val="23"/>
                <w:szCs w:val="23"/>
              </w:rPr>
              <w:t>四、标准物质、量值溯源与能力验证</w:t>
            </w:r>
          </w:p>
        </w:tc>
        <w:tc>
          <w:tcPr>
            <w:tcW w:w="6860" w:type="dxa"/>
            <w:vAlign w:val="center"/>
          </w:tcPr>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八项粮食标准样品替代对应2025版，覆盖加工精度、整精米率及品尝评分。</w:t>
            </w:r>
          </w:p>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总局公布2025年度国际能力验证完成情况，覆盖食品等多个领域。</w:t>
            </w:r>
          </w:p>
        </w:tc>
      </w:tr>
      <w:tr w14:paraId="348AD92E" w14:textId="77777777">
        <w:trPr>
          <w:cantSplit/>
        </w:trPr>
        <w:tc>
          <w:tcPr>
            <w:tcW w:w="2778" w:type="dxa"/>
            <w:vAlign w:val="center"/>
          </w:tcPr>
          <w:p w14:paraId="032F4B9D" w14:textId="77777777">
            <w:pPr>
              <w:spacing w:after="60" w:line="360" w:lineRule="exact"/>
              <w:wordWrap w:val="0"/>
            </w:pPr>
            <w:r>
              <w:rPr>
                <w:rFonts w:ascii="黑体" w:eastAsia="黑体" w:hAnsi="黑体" w:cs="黑体"/>
                <w:b/>
                <w:bCs/>
                <w:sz w:val="23"/>
                <w:szCs w:val="23"/>
              </w:rPr>
              <w:t>五、实验室认可、质量控制与实施提示</w:t>
            </w:r>
          </w:p>
        </w:tc>
        <w:tc>
          <w:tcPr>
            <w:tcW w:w="6860" w:type="dxa"/>
            <w:vAlign w:val="center"/>
          </w:tcPr>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粮食出库报告、档案参考样式修订；6个月报告有效期限于该业务语境。</w:t>
            </w:r>
          </w:p>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STRATUM研究提出mNGS分层质控与报告框架，食品安全为应用场景之一。</w:t>
            </w:r>
          </w:p>
        </w:tc>
      </w:tr>
      <w:tr w14:paraId="4E96E3BA" w14:textId="77777777">
        <w:trPr>
          <w:cantSplit/>
        </w:trPr>
        <w:tc>
          <w:tcPr>
            <w:tcW w:w="2778" w:type="dxa"/>
            <w:vAlign w:val="center"/>
          </w:tcPr>
          <w:p w14:paraId="4DBA7D85" w14:textId="77777777">
            <w:pPr>
              <w:spacing w:after="60" w:line="360" w:lineRule="exact"/>
              <w:wordWrap w:val="0"/>
            </w:pPr>
            <w:r>
              <w:rPr>
                <w:rFonts w:ascii="黑体" w:eastAsia="黑体" w:hAnsi="黑体" w:cs="黑体"/>
                <w:b/>
                <w:bCs/>
                <w:sz w:val="23"/>
                <w:szCs w:val="23"/>
              </w:rPr>
              <w:t>六、征求意见、协作研究与关键时间节点</w:t>
            </w:r>
          </w:p>
        </w:tc>
        <w:tc>
          <w:tcPr>
            <w:tcW w:w="6860" w:type="dxa"/>
            <w:vAlign w:val="center"/>
          </w:tcPr>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AOAC招募膳食补充剂等痕量元素污染物SMPR工作组成员，截止9月23日。</w:t>
            </w:r>
          </w:p>
          <w:p w14:paraId="08895642" w14:textId="77777777">
            <w:pPr>
              <w:spacing w:after="60" w:line="360" w:lineRule="exact"/>
              <w:tabs>
                <w:tab w:val="left" w:pos="360"/>
              </w:tabs>
              <w:ind w:left="360" w:hanging="280"/>
              <w:wordWrap w:val="0"/>
            </w:pPr>
            <w:r>
              <w:rPr>
                <w:rFonts w:ascii="宋体" w:hAnsi="宋体" w:eastAsia="宋体" w:cs="宋体"/>
                <w:b w:val="0"/>
                <w:color w:val="000000"/>
                <w:sz w:val="23"/>
              </w:rPr>
              <w:t>•</w:t>
              <w:tab/>
            </w:r>
            <w:r>
              <w:rPr>
                <w:sz w:val="23"/>
                <w:szCs w:val="23"/>
              </w:rPr>
              <w:t>EURL-CF预告10月28日易异构化农药定量培训，面向其参考实验室网络。</w:t>
            </w:r>
          </w:p>
        </w:tc>
      </w:tr>
    </w:tbl>
    <w:p w14:paraId="0DAB29BE" w14:textId="77777777">
      <w:pPr>
        <w:spacing w:line="290" w:lineRule="exact"/>
        <w:wordWrap w:val="0"/>
      </w:pPr>
      <w:r>
        <w:rPr>
          <w:rFonts w:ascii="宋体" w:eastAsia="宋体" w:hAnsi="宋体" w:cs="宋体"/>
          <w:color w:val="555555"/>
          <w:sz w:val="19"/>
          <w:szCs w:val="19"/>
        </w:rPr>
        <w:t>本期聚焦粮油方法版本管理、茶叶农残定量、标准样品及实验室质量控制。按窗口内首次公开或明确更新节点编排，区分公告、实施、研究和活动日期；未核到合适条目的栏目如实留空。</w:t>
      </w:r>
    </w:p>
    <w:p w14:paraId="7A6D2953" w14:textId="77777777">
      <w:pPr>
        <w:pStyle w:val="1"/>
        <w:spacing w:before="200" w:line="440" w:lineRule="exact"/>
        <w:wordWrap w:val="0"/>
        <w:pageBreakBefore w:val="1"/>
      </w:pPr>
      <w:r>
        <w:t>一、国内方法标准与监管检测动态</w:t>
      </w:r>
    </w:p>
    <w:p w14:paraId="48D7440C" w14:textId="77777777">
      <w:pPr>
        <w:pStyle w:val="21"/>
        <w:spacing w:before="140" w:line="380" w:lineRule="exact"/>
        <w:wordWrap w:val="0"/>
      </w:pPr>
      <w:r>
        <w:t>三项粮油检验方法将于2027年3月7日废止</w:t>
      </w:r>
    </w:p>
    <w:p w14:paraId="055A539C" w14:textId="77777777">
      <w:pPr>
        <w:keepNext/>
        <w:spacing w:line="290" w:lineRule="exact"/>
        <w:wordWrap w:val="0"/>
      </w:pPr>
      <w:r>
        <w:rPr>
          <w:rFonts w:ascii="宋体" w:eastAsia="宋体" w:hAnsi="宋体" w:cs="宋体"/>
          <w:color w:val="555555"/>
          <w:sz w:val="19"/>
          <w:szCs w:val="19"/>
        </w:rPr>
        <w:t>国内标准｜9月9日公开，公告落款9月7日</w:t>
      </w:r>
    </w:p>
    <w:p w14:paraId="75463394" w14:textId="77777777">
      <w:pPr>
        <w:keepNext/>
        <w:spacing w:line="360" w:lineRule="exact"/>
        <w:ind w:firstLine="480"/>
        <w:wordWrap w:val="0"/>
        <w:keepLines w:val="1"/>
      </w:pPr>
      <w:r>
        <w:t>国家粮食和物资储备局2026年第5号公告列出10项废止标准。其中，LS/T 6102—1995《小麦粉湿面筋质量测定方法 面筋指数法》、LS/T 6103—2010《粮油检验 粮食水分测定 水浸悬浮法》和LS/T 6120—2017《粮油检验 植物油中角鲨烯的测定 气相色谱法》，废止日期均为2027年3月7日。</w:t>
      </w:r>
    </w:p>
    <w:p w14:paraId="75463394" w14:textId="77777777">
      <w:pPr>
        <w:keepNext/>
        <w:spacing w:line="360" w:lineRule="exact"/>
        <w:ind w:firstLine="480"/>
        <w:wordWrap w:val="0"/>
        <w:keepLines w:val="1"/>
      </w:pPr>
      <w:r>
        <w:t>这三项方法并非本周即时废止。相关实验室可提前盘点认可能力范围、作业文件及合同中的版本引用；公告未给出一一对应的替代标准，后续方法选择与变更程序仍需另行核实。</w:t>
      </w:r>
    </w:p>
    <w:p w14:paraId="21359F8A" w14:textId="7BCCA01E">
      <w:pPr>
        <w:spacing w:after="160" w:line="280" w:lineRule="exact"/>
      </w:pPr>
      <w:r>
        <w:rPr>
          <w:rFonts w:ascii="宋体" w:eastAsia="宋体" w:hAnsi="宋体" w:cs="宋体"/>
          <w:color w:val="555555"/>
          <w:sz w:val="19"/>
          <w:szCs w:val="19"/>
        </w:rPr>
        <w:t xml:space="preserve">来源 </w:t>
      </w:r>
      <w:hyperlink r:id="rId2001">
        <w:r>
          <w:rPr>
            <w:rFonts w:ascii="宋体" w:eastAsia="宋体" w:hAnsi="宋体" w:cs="宋体"/>
            <w:color w:val="245D83"/>
            <w:sz w:val="19"/>
            <w:szCs w:val="19"/>
            <w:u w:val="single"/>
          </w:rPr>
          <w:t>国家粮食和物资储备局公告及附件</w:t>
        </w:r>
      </w:hyperlink>
    </w:p>
    <w:p w14:paraId="7A6D2953" w14:textId="77777777">
      <w:pPr>
        <w:pStyle w:val="1"/>
        <w:spacing w:before="200" w:line="440" w:lineRule="exact"/>
        <w:wordWrap w:val="0"/>
        <w:pageBreakBefore w:val="0"/>
      </w:pPr>
      <w:r>
        <w:t>三、验证研究与新分析技术</w:t>
      </w:r>
    </w:p>
    <w:p w14:paraId="48D7440C" w14:textId="77777777">
      <w:pPr>
        <w:pStyle w:val="21"/>
        <w:spacing w:before="140" w:line="380" w:lineRule="exact"/>
        <w:wordWrap w:val="0"/>
      </w:pPr>
      <w:r>
        <w:t>多茶类农残研究比较基质匹配与过程内标定量策略</w:t>
      </w:r>
    </w:p>
    <w:p w14:paraId="055A539C" w14:textId="77777777">
      <w:pPr>
        <w:keepNext/>
        <w:spacing w:line="290" w:lineRule="exact"/>
        <w:wordWrap w:val="0"/>
      </w:pPr>
      <w:r>
        <w:rPr>
          <w:rFonts w:ascii="宋体" w:eastAsia="宋体" w:hAnsi="宋体" w:cs="宋体"/>
          <w:color w:val="555555"/>
          <w:sz w:val="19"/>
          <w:szCs w:val="19"/>
        </w:rPr>
        <w:t>方法研究｜9月8日网络首发</w:t>
      </w:r>
    </w:p>
    <w:p w14:paraId="75463394" w14:textId="77777777">
      <w:pPr>
        <w:keepNext/>
        <w:spacing w:line="360" w:lineRule="exact"/>
        <w:ind w:firstLine="480"/>
        <w:wordWrap w:val="0"/>
        <w:keepLines w:val="1"/>
      </w:pPr>
      <w:r>
        <w:t>《分析试验室》网络首发研究采用QuEChERS前处理与气相色谱—串联质谱，对多茶类茶样中10种农药的定量策略进行比较。研究将磷酸三苯酯（TPP）作为提取前加入的过程内标，将对三联苯-d14用于进样监控；摘要报告定量限为0.0035—0.0100 mg/kg，基质匹配结合过程校正有助于改善跨基质定量表现。</w:t>
      </w:r>
    </w:p>
    <w:p w14:paraId="75463394" w14:textId="77777777">
      <w:pPr>
        <w:keepNext/>
        <w:spacing w:line="360" w:lineRule="exact"/>
        <w:ind w:firstLine="480"/>
        <w:wordWrap w:val="0"/>
        <w:keepLines w:val="1"/>
      </w:pPr>
      <w:r>
        <w:t>对茶叶检测实验室，该研究的参考价值在于区分提取过程偏差与进样响应，并评估不同茶类的基质效应。本期核读公开中英文摘要，未取得完整验证数据；结果不能外推至全部农药或全部茶类，也不代表官方标准方法已调整。</w:t>
      </w:r>
    </w:p>
    <w:p w14:paraId="21359F8A" w14:textId="7BCCA01E">
      <w:pPr>
        <w:spacing w:after="160" w:line="280" w:lineRule="exact"/>
      </w:pPr>
      <w:r>
        <w:rPr>
          <w:rFonts w:ascii="宋体" w:eastAsia="宋体" w:hAnsi="宋体" w:cs="宋体"/>
          <w:color w:val="555555"/>
          <w:sz w:val="19"/>
          <w:szCs w:val="19"/>
        </w:rPr>
        <w:t xml:space="preserve">来源 </w:t>
      </w:r>
      <w:hyperlink r:id="rId2002">
        <w:r>
          <w:rPr>
            <w:rFonts w:ascii="宋体" w:eastAsia="宋体" w:hAnsi="宋体" w:cs="宋体"/>
            <w:color w:val="245D83"/>
            <w:sz w:val="19"/>
            <w:szCs w:val="19"/>
            <w:u w:val="single"/>
          </w:rPr>
          <w:t>《分析试验室》论文摘要</w:t>
        </w:r>
      </w:hyperlink>
    </w:p>
    <w:p w14:paraId="7A6D2953" w14:textId="77777777">
      <w:pPr>
        <w:pStyle w:val="1"/>
        <w:spacing w:before="200" w:line="440" w:lineRule="exact"/>
        <w:wordWrap w:val="0"/>
        <w:pageBreakBefore w:val="0"/>
      </w:pPr>
      <w:r>
        <w:t>四、标准物质、量值溯源与能力验证</w:t>
      </w:r>
    </w:p>
    <w:p w14:paraId="48D7440C" w14:textId="77777777">
      <w:pPr>
        <w:pStyle w:val="21"/>
        <w:spacing w:before="140" w:line="380" w:lineRule="exact"/>
        <w:wordWrap w:val="0"/>
      </w:pPr>
      <w:r>
        <w:t>八项粮食标准样品更新，覆盖加工精度与食用品质评价</w:t>
      </w:r>
    </w:p>
    <w:p w14:paraId="055A539C" w14:textId="77777777">
      <w:pPr>
        <w:keepNext/>
        <w:spacing w:line="290" w:lineRule="exact"/>
        <w:wordWrap w:val="0"/>
      </w:pPr>
      <w:r>
        <w:rPr>
          <w:rFonts w:ascii="宋体" w:eastAsia="宋体" w:hAnsi="宋体" w:cs="宋体"/>
          <w:color w:val="555555"/>
          <w:sz w:val="19"/>
          <w:szCs w:val="19"/>
        </w:rPr>
        <w:t>标准样品｜9月9日官网公开，公告落款9月4日</w:t>
      </w:r>
    </w:p>
    <w:p w14:paraId="75463394" w14:textId="77777777">
      <w:pPr>
        <w:keepNext/>
        <w:spacing w:line="360" w:lineRule="exact"/>
        <w:ind w:firstLine="480"/>
        <w:wordWrap w:val="0"/>
        <w:keepLines w:val="1"/>
      </w:pPr>
      <w:r>
        <w:t>国家粮食和物资储备局2026年第4号公告发布8项粮食标准样品：籼米和粳米加工精度4项、籼稻和粳稻整精米率2项、籼米和粳米品尝评分参考样品2项，均替代对应2025版。附件目录列示有效期为1年。</w:t>
      </w:r>
    </w:p>
    <w:p w14:paraId="75463394" w14:textId="77777777">
      <w:pPr>
        <w:keepNext/>
        <w:spacing w:line="360" w:lineRule="exact"/>
        <w:ind w:firstLine="480"/>
        <w:wordWrap w:val="0"/>
        <w:keepLines w:val="1"/>
      </w:pPr>
      <w:r>
        <w:t>使用前应按试验用途核对样品版本、批次证书、保存条件和有效期，不宜仅以公告日期推算实物到期日。这些样品用于粮食品质评价，不应与农药残留、重金属等化学定量分析的标准物质混同。</w:t>
      </w:r>
    </w:p>
    <w:p w14:paraId="21359F8A" w14:textId="7BCCA01E">
      <w:pPr>
        <w:spacing w:after="160" w:line="280" w:lineRule="exact"/>
      </w:pPr>
      <w:r>
        <w:rPr>
          <w:rFonts w:ascii="宋体" w:eastAsia="宋体" w:hAnsi="宋体" w:cs="宋体"/>
          <w:color w:val="555555"/>
          <w:sz w:val="19"/>
          <w:szCs w:val="19"/>
        </w:rPr>
        <w:t xml:space="preserve">来源 </w:t>
      </w:r>
      <w:hyperlink r:id="rId2003">
        <w:r>
          <w:rPr>
            <w:rFonts w:ascii="宋体" w:eastAsia="宋体" w:hAnsi="宋体" w:cs="宋体"/>
            <w:color w:val="245D83"/>
            <w:sz w:val="19"/>
            <w:szCs w:val="19"/>
            <w:u w:val="single"/>
          </w:rPr>
          <w:t>国家粮食和物资储备局公告及目录</w:t>
        </w:r>
      </w:hyperlink>
    </w:p>
    <w:p w14:paraId="48D7440C" w14:textId="77777777">
      <w:pPr>
        <w:pStyle w:val="21"/>
        <w:spacing w:before="140" w:line="380" w:lineRule="exact"/>
        <w:wordWrap w:val="0"/>
      </w:pPr>
      <w:r>
        <w:t>短讯：总局公布2025年度国际能力验证完成情况</w:t>
      </w:r>
    </w:p>
    <w:p w14:paraId="055A539C" w14:textId="77777777">
      <w:pPr>
        <w:keepNext/>
        <w:spacing w:line="290" w:lineRule="exact"/>
        <w:wordWrap w:val="0"/>
      </w:pPr>
      <w:r>
        <w:rPr>
          <w:rFonts w:ascii="宋体" w:eastAsia="宋体" w:hAnsi="宋体" w:cs="宋体"/>
          <w:color w:val="555555"/>
          <w:sz w:val="19"/>
          <w:szCs w:val="19"/>
        </w:rPr>
        <w:t>能力验证｜9月7日公开年度工作结果</w:t>
      </w:r>
    </w:p>
    <w:p w14:paraId="75463394" w14:textId="77777777">
      <w:pPr>
        <w:keepNext/>
        <w:spacing w:line="360" w:lineRule="exact"/>
        <w:ind w:firstLine="480"/>
        <w:wordWrap w:val="0"/>
        <w:keepLines w:val="1"/>
      </w:pPr>
      <w:r>
        <w:t>市场监管总局公布，2025年度国际能力验证覆盖食品、家用电器及水质等领域，参与机构来自29个经济体，共91家。该数字为多领域合计，不能视为食品实验室数量。公告未披露具体食品子项目、满意率或赋值方法，也不是新一轮报名通知；可继续关注后续食品项目与整改经验发布。</w:t>
      </w:r>
    </w:p>
    <w:p w14:paraId="21359F8A" w14:textId="7BCCA01E">
      <w:pPr>
        <w:spacing w:after="160" w:line="280" w:lineRule="exact"/>
      </w:pPr>
      <w:r>
        <w:rPr>
          <w:rFonts w:ascii="宋体" w:eastAsia="宋体" w:hAnsi="宋体" w:cs="宋体"/>
          <w:color w:val="555555"/>
          <w:sz w:val="19"/>
          <w:szCs w:val="19"/>
        </w:rPr>
        <w:t xml:space="preserve">来源 </w:t>
      </w:r>
      <w:hyperlink r:id="rId2004">
        <w:r>
          <w:rPr>
            <w:rFonts w:ascii="宋体" w:eastAsia="宋体" w:hAnsi="宋体" w:cs="宋体"/>
            <w:color w:val="245D83"/>
            <w:sz w:val="19"/>
            <w:szCs w:val="19"/>
            <w:u w:val="single"/>
          </w:rPr>
          <w:t>市场监管总局原文</w:t>
        </w:r>
      </w:hyperlink>
    </w:p>
    <w:p w14:paraId="7A6D2953" w14:textId="77777777">
      <w:pPr>
        <w:pStyle w:val="1"/>
        <w:spacing w:before="200" w:line="440" w:lineRule="exact"/>
        <w:wordWrap w:val="0"/>
        <w:pageBreakBefore w:val="0"/>
      </w:pPr>
      <w:r>
        <w:t>五、实验室认可、质量控制与实施提示</w:t>
      </w:r>
    </w:p>
    <w:p w14:paraId="48D7440C" w14:textId="77777777">
      <w:pPr>
        <w:pStyle w:val="21"/>
        <w:spacing w:before="140" w:line="380" w:lineRule="exact"/>
        <w:wordWrap w:val="0"/>
      </w:pPr>
      <w:r>
        <w:t>粮食出库检验报告及质量安全档案参考样式修订</w:t>
      </w:r>
    </w:p>
    <w:p w14:paraId="055A539C" w14:textId="77777777">
      <w:pPr>
        <w:keepNext/>
        <w:spacing w:line="290" w:lineRule="exact"/>
        <w:wordWrap w:val="0"/>
      </w:pPr>
      <w:r>
        <w:rPr>
          <w:rFonts w:ascii="宋体" w:eastAsia="宋体" w:hAnsi="宋体" w:cs="宋体"/>
          <w:color w:val="555555"/>
          <w:sz w:val="19"/>
          <w:szCs w:val="19"/>
        </w:rPr>
        <w:t>报告与档案｜9月9日公开，通知落款9月7日</w:t>
      </w:r>
    </w:p>
    <w:p w14:paraId="75463394" w14:textId="77777777">
      <w:pPr>
        <w:keepNext/>
        <w:spacing w:line="360" w:lineRule="exact"/>
        <w:ind w:firstLine="480"/>
        <w:wordWrap w:val="0"/>
        <w:keepLines w:val="1"/>
      </w:pPr>
      <w:r>
        <w:t>国粮办仓〔2026〕272号通知更新粮食出库检验报告和质量安全档案的参考样式。粮食出库检验报告自签发日起有效6个月，国家另有规定的从其规定；从事粮食收购、储存和政策性粮食购销的企业，其质量安全档案应自粮食出库之日起保存不少于3年。通知印发前已使用原版本的，可继续使用至该批次粮食出库完毕。</w:t>
      </w:r>
    </w:p>
    <w:p w14:paraId="75463394" w14:textId="77777777">
      <w:pPr>
        <w:keepNext/>
        <w:spacing w:line="360" w:lineRule="exact"/>
        <w:ind w:firstLine="480"/>
        <w:wordWrap w:val="0"/>
        <w:keepLines w:val="1"/>
      </w:pPr>
      <w:r>
        <w:t>相关机构可联动检查报告模板、签发日期、批次关联及档案保存规则。样式供参考，可结合实际补充完善；6个月有效期不得扩展解释为所有食品检验报告的通用期限。本期核对通知正文，未逐字段比较新旧附图。</w:t>
      </w:r>
    </w:p>
    <w:p w14:paraId="21359F8A" w14:textId="7BCCA01E">
      <w:pPr>
        <w:spacing w:after="160" w:line="280" w:lineRule="exact"/>
      </w:pPr>
      <w:r>
        <w:rPr>
          <w:rFonts w:ascii="宋体" w:eastAsia="宋体" w:hAnsi="宋体" w:cs="宋体"/>
          <w:color w:val="555555"/>
          <w:sz w:val="19"/>
          <w:szCs w:val="19"/>
        </w:rPr>
        <w:t xml:space="preserve">来源 </w:t>
      </w:r>
      <w:hyperlink r:id="rId2005">
        <w:r>
          <w:rPr>
            <w:rFonts w:ascii="宋体" w:eastAsia="宋体" w:hAnsi="宋体" w:cs="宋体"/>
            <w:color w:val="245D83"/>
            <w:sz w:val="19"/>
            <w:szCs w:val="19"/>
            <w:u w:val="single"/>
          </w:rPr>
          <w:t>国家粮食和物资储备局办公室通知</w:t>
        </w:r>
      </w:hyperlink>
    </w:p>
    <w:p w14:paraId="48D7440C" w14:textId="77777777">
      <w:pPr>
        <w:pStyle w:val="21"/>
        <w:spacing w:before="140" w:line="380" w:lineRule="exact"/>
        <w:wordWrap w:val="0"/>
      </w:pPr>
      <w:r>
        <w:t>STRATUM框架提出按用途分层管理宏基因组测序质量</w:t>
      </w:r>
    </w:p>
    <w:p w14:paraId="055A539C" w14:textId="77777777">
      <w:pPr>
        <w:keepNext/>
        <w:spacing w:line="290" w:lineRule="exact"/>
        <w:wordWrap w:val="0"/>
      </w:pPr>
      <w:r>
        <w:rPr>
          <w:rFonts w:ascii="宋体" w:eastAsia="宋体" w:hAnsi="宋体" w:cs="宋体"/>
          <w:color w:val="555555"/>
          <w:sz w:val="19"/>
          <w:szCs w:val="19"/>
        </w:rPr>
        <w:t>质量框架研究｜9月9日在线发表</w:t>
      </w:r>
    </w:p>
    <w:p w14:paraId="75463394" w14:textId="77777777">
      <w:pPr>
        <w:keepNext/>
        <w:spacing w:line="360" w:lineRule="exact"/>
        <w:ind w:firstLine="480"/>
        <w:wordWrap w:val="0"/>
        <w:keepLines w:val="1"/>
      </w:pPr>
      <w:r>
        <w:t>Journal of AOAC INTERNATIONAL发表STRATUM框架研究，针对宏基因组下一代测序（mNGS）在生物监测中的应用，区分高后果监管或临床决策、日常运行监测及探索性研究三个层级。框架涉及样品处理、对照与污染控制、测序、数据库、生物信息流程可复现性及信号确认；食品安全是所列应用场景之一。</w:t>
      </w:r>
    </w:p>
    <w:p w14:paraId="75463394" w14:textId="77777777">
      <w:pPr>
        <w:keepNext/>
        <w:spacing w:line="360" w:lineRule="exact"/>
        <w:ind w:firstLine="480"/>
        <w:wordWrap w:val="0"/>
        <w:keepLines w:val="1"/>
      </w:pPr>
      <w:r>
        <w:t>本期核读出版元数据与公开摘要。该框架可作为食品实验室评估测序证据质量的研究线索，但不是AOAC正式方法、新增认可要求，也不能替代针对具体食品基质和靶标的验证方案。</w:t>
      </w:r>
    </w:p>
    <w:p w14:paraId="21359F8A" w14:textId="7BCCA01E">
      <w:pPr>
        <w:spacing w:after="160" w:line="280" w:lineRule="exact"/>
      </w:pPr>
      <w:r>
        <w:rPr>
          <w:rFonts w:ascii="宋体" w:eastAsia="宋体" w:hAnsi="宋体" w:cs="宋体"/>
          <w:color w:val="555555"/>
          <w:sz w:val="19"/>
          <w:szCs w:val="19"/>
        </w:rPr>
        <w:t xml:space="preserve">来源 </w:t>
      </w:r>
      <w:hyperlink r:id="rId2006">
        <w:r>
          <w:rPr>
            <w:rFonts w:ascii="宋体" w:eastAsia="宋体" w:hAnsi="宋体" w:cs="宋体"/>
            <w:color w:val="245D83"/>
            <w:sz w:val="19"/>
            <w:szCs w:val="19"/>
            <w:u w:val="single"/>
          </w:rPr>
          <w:t>Journal of AOAC INTERNATIONAL论文摘要</w:t>
        </w:r>
      </w:hyperlink>
    </w:p>
    <w:p w14:paraId="7A6D2953" w14:textId="77777777">
      <w:pPr>
        <w:pStyle w:val="1"/>
        <w:spacing w:before="200" w:line="440" w:lineRule="exact"/>
        <w:wordWrap w:val="0"/>
        <w:pageBreakBefore w:val="0"/>
      </w:pPr>
      <w:r>
        <w:t>六、征求意见、协作研究与关键时间节点</w:t>
      </w:r>
    </w:p>
    <w:p w14:paraId="48D7440C" w14:textId="77777777">
      <w:pPr>
        <w:pStyle w:val="21"/>
        <w:spacing w:before="140" w:line="380" w:lineRule="exact"/>
        <w:wordWrap w:val="0"/>
      </w:pPr>
      <w:r>
        <w:t>AOAC招募痕量元素污染物方法性能要求工作组成员</w:t>
      </w:r>
    </w:p>
    <w:p w14:paraId="055A539C" w14:textId="77777777">
      <w:pPr>
        <w:keepNext/>
        <w:spacing w:line="290" w:lineRule="exact"/>
        <w:wordWrap w:val="0"/>
      </w:pPr>
      <w:r>
        <w:rPr>
          <w:rFonts w:ascii="宋体" w:eastAsia="宋体" w:hAnsi="宋体" w:cs="宋体"/>
          <w:color w:val="555555"/>
          <w:sz w:val="19"/>
          <w:szCs w:val="19"/>
        </w:rPr>
        <w:t>工作组招募｜9月10日发布，报名截止9月23日</w:t>
      </w:r>
    </w:p>
    <w:p w14:paraId="75463394" w14:textId="77777777">
      <w:pPr>
        <w:keepNext/>
        <w:spacing w:line="360" w:lineRule="exact"/>
        <w:ind w:firstLine="480"/>
        <w:wordWrap w:val="0"/>
        <w:keepLines w:val="1"/>
      </w:pPr>
      <w:r>
        <w:t>AOAC INTERNATIONAL发布志愿者招募，拟组建工作组，制定膳食原料、膳食补充剂及相关原材料中低水平痕量元素污染物的标准方法性能要求（SMPR）。公告列明报名截止日期为9月23日。</w:t>
      </w:r>
    </w:p>
    <w:p w14:paraId="75463394" w14:textId="77777777">
      <w:pPr>
        <w:keepNext/>
        <w:spacing w:line="360" w:lineRule="exact"/>
        <w:ind w:firstLine="480"/>
        <w:wordWrap w:val="0"/>
        <w:keepLines w:val="1"/>
      </w:pPr>
      <w:r>
        <w:t>从事补充剂元素分析的机构可关注后续性能要求草案及协作研究机会。当前节点是工作组招募，不是已批准的SMPR或正式分析方法；公告没有给出具体元素清单、定量限或已确定的验收指标。</w:t>
      </w:r>
    </w:p>
    <w:p w14:paraId="21359F8A" w14:textId="7BCCA01E">
      <w:pPr>
        <w:spacing w:after="160" w:line="280" w:lineRule="exact"/>
      </w:pPr>
      <w:r>
        <w:rPr>
          <w:rFonts w:ascii="宋体" w:eastAsia="宋体" w:hAnsi="宋体" w:cs="宋体"/>
          <w:color w:val="555555"/>
          <w:sz w:val="19"/>
          <w:szCs w:val="19"/>
        </w:rPr>
        <w:t xml:space="preserve">来源 </w:t>
      </w:r>
      <w:hyperlink r:id="rId2007">
        <w:r>
          <w:rPr>
            <w:rFonts w:ascii="宋体" w:eastAsia="宋体" w:hAnsi="宋体" w:cs="宋体"/>
            <w:color w:val="245D83"/>
            <w:sz w:val="19"/>
            <w:szCs w:val="19"/>
            <w:u w:val="single"/>
          </w:rPr>
          <w:t>AOAC INTERNATIONAL招募原文</w:t>
        </w:r>
      </w:hyperlink>
    </w:p>
    <w:p w14:paraId="48D7440C" w14:textId="77777777">
      <w:pPr>
        <w:pStyle w:val="21"/>
        <w:spacing w:before="140" w:line="380" w:lineRule="exact"/>
        <w:wordWrap w:val="0"/>
      </w:pPr>
      <w:r>
        <w:t>EURL-CF预告易异构化农药定量线上培训</w:t>
      </w:r>
    </w:p>
    <w:p w14:paraId="055A539C" w14:textId="77777777">
      <w:pPr>
        <w:keepNext/>
        <w:spacing w:line="290" w:lineRule="exact"/>
        <w:wordWrap w:val="0"/>
      </w:pPr>
      <w:r>
        <w:rPr>
          <w:rFonts w:ascii="宋体" w:eastAsia="宋体" w:hAnsi="宋体" w:cs="宋体"/>
          <w:color w:val="555555"/>
          <w:sz w:val="19"/>
          <w:szCs w:val="19"/>
        </w:rPr>
        <w:t>技术培训预告｜9月8日发布，活动拟于10月28日举行</w:t>
      </w:r>
    </w:p>
    <w:p w14:paraId="75463394" w14:textId="77777777">
      <w:pPr>
        <w:keepNext/>
        <w:spacing w:line="360" w:lineRule="exact"/>
        <w:ind w:firstLine="480"/>
        <w:wordWrap w:val="0"/>
        <w:keepLines w:val="1"/>
      </w:pPr>
      <w:r>
        <w:t>欧盟谷物和饲料农药残留参考实验室（EURL-CF）预告，将于10月28日举办易发生异构化农药的定量线上培训。公告说明面向EURL-CF网络免费开放，并将向国家参考实验室发送邀请；未列出具体分析物和基质清单。</w:t>
      </w:r>
    </w:p>
    <w:p w14:paraId="75463394" w14:textId="77777777">
      <w:pPr>
        <w:keepNext/>
        <w:spacing w:line="360" w:lineRule="exact"/>
        <w:ind w:firstLine="480"/>
        <w:wordWrap w:val="0"/>
        <w:keepLines w:val="1"/>
      </w:pPr>
      <w:r>
        <w:t>这是一条相关技术交流线索，不能据此认定国内商业实验室均可直接报名。公告未发布完整操作规程或方法性能数据，本期不将其计为新标准或已完成的方法验证；后续可关注公开课件和技术文件。</w:t>
      </w:r>
    </w:p>
    <w:p w14:paraId="21359F8A" w14:textId="7BCCA01E">
      <w:pPr>
        <w:spacing w:after="160" w:line="280" w:lineRule="exact"/>
      </w:pPr>
      <w:r>
        <w:rPr>
          <w:rFonts w:ascii="宋体" w:eastAsia="宋体" w:hAnsi="宋体" w:cs="宋体"/>
          <w:color w:val="555555"/>
          <w:sz w:val="19"/>
          <w:szCs w:val="19"/>
        </w:rPr>
        <w:t xml:space="preserve">来源 </w:t>
      </w:r>
      <w:hyperlink r:id="rId2008">
        <w:r>
          <w:rPr>
            <w:rFonts w:ascii="宋体" w:eastAsia="宋体" w:hAnsi="宋体" w:cs="宋体"/>
            <w:color w:val="245D83"/>
            <w:sz w:val="19"/>
            <w:szCs w:val="19"/>
            <w:u w:val="single"/>
          </w:rPr>
          <w:t>EURL-Pesticides官方预告</w:t>
        </w:r>
      </w:hyperlink>
    </w:p>
    <w:p w14:paraId="7234CB7C" w14:textId="77777777">
      <w:pPr>
        <w:pStyle w:val="21"/>
        <w:spacing w:before="140" w:line="380" w:lineRule="exact"/>
      </w:pPr>
      <w:r>
        <w:t>使用说明</w:t>
      </w:r>
    </w:p>
    <w:p w14:paraId="6E6F4F60" w14:textId="77777777">
      <w:pPr>
        <w:spacing w:line="290" w:lineRule="exact"/>
        <w:wordWrap w:val="0"/>
      </w:pPr>
      <w:r>
        <w:rPr>
          <w:sz w:val="21"/>
          <w:szCs w:val="21"/>
        </w:rPr>
        <w:t>本期为历史窗口回溯编制，编制及来源复核日期为2026年9月21日。首页所列统计窗口起点不含、终点包含，均为北京时间。内容供技术信息交流，标准状态及适用范围以主管机构原文为准；研究摘要、工作组招募和培训预告不等同于生效标准。公开信息源清单包含监测目录、本期引用及反馈模板，不含第三方全文。</w:t>
      </w:r>
    </w:p>
    <w:sectPr>
      <w:headerReference w:type="even" r:id="rId25"/>
      <w:headerReference w:type="default" r:id="rId26"/>
      <w:footerReference w:type="even" r:id="rId27"/>
      <w:footerReference w:type="default" r:id="rId28"/>
      <w:headerReference w:type="first" r:id="rId29"/>
      <w:footerReference w:type="first" r:id="rId30"/>
      <w:pgSz w:w="11906" w:h="16838"/>
      <w:pgMar w:top="1020" w:right="1134" w:bottom="964" w:left="1134" w:header="425" w:footer="4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45706" w14:textId="77777777">
      <w:pPr>
        <w:spacing w:after="0" w:line="240" w:lineRule="auto"/>
      </w:pPr>
      <w:r>
        <w:separator/>
      </w:r>
    </w:p>
  </w:endnote>
  <w:endnote w:type="continuationSeparator" w:id="0">
    <w:p w14:paraId="0BB8E7FE" w14:textId="77777777">
      <w:pPr>
        <w:spacing w:after="0" w:line="240" w:lineRule="auto"/>
      </w:pPr>
      <w:r>
        <w:continuationSeparator/>
      </w:r>
    </w:p>
  </w:endnote>
</w:endnotes>
</file>

<file path=word/fontTable.xml><?xml version="1.0" encoding="utf-8"?>
<w:fonts xmlns:w="http://schemas.openxmlformats.org/wordprocessingml/2006/main">
  <w:font w:name="宋体">
    <w:charset w:val="86"/>
  </w:font>
  <w:font w:name="黑体">
    <w:charset w:val="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BA4F8" w14:textId="7777777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9F7E9" w14:textId="77777777">
    <w:pPr>
      <w:spacing w:line="240" w:lineRule="exact"/>
      <w:jc w:val="right"/>
    </w:pPr>
    <w:r>
      <w:rPr>
        <w:rFonts w:ascii="宋体" w:eastAsia="宋体" w:hAnsi="宋体" w:cs="宋体"/>
        <w:color w:val="555555"/>
        <w:sz w:val="17"/>
        <w:szCs w:val="17"/>
      </w:rPr>
      <w:t xml:space="preserve">分析测试标准资讯周报（内部测试版）  第 </w:t>
    </w:r>
    <w:r>
      <w:rPr>
        <w:rFonts w:ascii="宋体" w:eastAsia="宋体" w:hAnsi="宋体" w:cs="宋体"/>
        <w:color w:val="555555"/>
        <w:sz w:val="17"/>
        <w:szCs w:val="17"/>
      </w:rPr>
      <w:fldChar w:fldCharType="begin"/>
    </w:r>
    <w:r>
      <w:rPr>
        <w:rFonts w:ascii="宋体" w:eastAsia="宋体" w:hAnsi="宋体" w:cs="宋体"/>
        <w:color w:val="555555"/>
        <w:sz w:val="17"/>
        <w:szCs w:val="17"/>
      </w:rPr>
      <w:instrText>PAGE</w:instrText>
    </w:r>
    <w:r>
      <w:rPr>
        <w:rFonts w:ascii="宋体" w:eastAsia="宋体" w:hAnsi="宋体" w:cs="宋体"/>
        <w:color w:val="555555"/>
        <w:sz w:val="17"/>
        <w:szCs w:val="17"/>
      </w:rPr>
      <w:fldChar w:fldCharType="separate"/>
    </w:r>
    <w:r>
      <w:rPr>
        <w:rFonts w:ascii="宋体" w:eastAsia="宋体" w:hAnsi="宋体" w:cs="宋体"/>
        <w:noProof/>
        <w:color w:val="555555"/>
        <w:sz w:val="17"/>
        <w:szCs w:val="17"/>
      </w:rPr>
      <w:t>1</w:t>
    </w:r>
    <w:r>
      <w:rPr>
        <w:rFonts w:ascii="宋体" w:eastAsia="宋体" w:hAnsi="宋体" w:cs="宋体"/>
        <w:color w:val="555555"/>
        <w:sz w:val="17"/>
        <w:szCs w:val="17"/>
      </w:rPr>
      <w:fldChar w:fldCharType="end"/>
    </w:r>
    <w:r>
      <w:rPr>
        <w:rFonts w:ascii="宋体" w:eastAsia="宋体" w:hAnsi="宋体" w:cs="宋体"/>
        <w:color w:val="555555"/>
        <w:sz w:val="17"/>
        <w:szCs w:val="17"/>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5EE6" w14:textId="7777777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2EAF" w14:textId="77777777">
      <w:pPr>
        <w:spacing w:after="0" w:line="240" w:lineRule="auto"/>
      </w:pPr>
      <w:r>
        <w:separator/>
      </w:r>
    </w:p>
  </w:footnote>
  <w:footnote w:type="continuationSeparator" w:id="0">
    <w:p w14:paraId="01EFFB8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3C5E0" w14:textId="7777777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AEF97" w14:textId="77777777">
    <w:pPr>
      <w:pStyle w:val="a5"/>
      <w:spacing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9213" w14:textId="7777777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宋体" w:eastAsia="宋体" w:hAnsi="宋体" w:cs="宋体" w:hint="eastAsia"/>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宋体" w:eastAsia="宋体" w:hAnsi="宋体" w:cs="宋体" w:hint="eastAsia"/>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宋体" w:eastAsia="宋体" w:hAnsi="宋体" w:cs="宋体" w:hint="eastAsia"/>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宋体" w:eastAsia="宋体" w:hAnsi="宋体" w:cs="宋体" w:hint="eastAsia"/>
      </w:rPr>
    </w:lvl>
  </w:abstractNum>
  <w:num w:numId="1" w16cid:durableId="1450274729">
    <w:abstractNumId w:val="8"/>
  </w:num>
  <w:num w:numId="2" w16cid:durableId="33821294">
    <w:abstractNumId w:val="6"/>
  </w:num>
  <w:num w:numId="3" w16cid:durableId="657615895">
    <w:abstractNumId w:val="5"/>
  </w:num>
  <w:num w:numId="4" w16cid:durableId="100497808">
    <w:abstractNumId w:val="4"/>
  </w:num>
  <w:num w:numId="5" w16cid:durableId="540869003">
    <w:abstractNumId w:val="7"/>
  </w:num>
  <w:num w:numId="6" w16cid:durableId="9527193">
    <w:abstractNumId w:val="3"/>
  </w:num>
  <w:num w:numId="7" w16cid:durableId="1123765509">
    <w:abstractNumId w:val="2"/>
  </w:num>
  <w:num w:numId="8" w16cid:durableId="1083721945">
    <w:abstractNumId w:val="1"/>
  </w:num>
  <w:num w:numId="9" w16cid:durableId="14187929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val="1"/>
  <w:hideGrammaticalErrors w:val="1"/>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55C"/>
    <w:rsid w:val="00034616"/>
    <w:rsid w:val="0006063C"/>
    <w:rsid w:val="00071710"/>
    <w:rsid w:val="00144C9B"/>
    <w:rsid w:val="0015074B"/>
    <w:rsid w:val="00192115"/>
    <w:rsid w:val="0029639D"/>
    <w:rsid w:val="00326F90"/>
    <w:rsid w:val="005E45C4"/>
    <w:rsid w:val="006F4FFB"/>
    <w:rsid w:val="00741353"/>
    <w:rsid w:val="00870DE8"/>
    <w:rsid w:val="008A38A6"/>
    <w:rsid w:val="00962205"/>
    <w:rsid w:val="00AA1D8D"/>
    <w:rsid w:val="00AE4301"/>
    <w:rsid w:val="00AF0D74"/>
    <w:rsid w:val="00B47730"/>
    <w:rsid w:val="00C42746"/>
    <w:rsid w:val="00C6280B"/>
    <w:rsid w:val="00CB0664"/>
    <w:rsid w:val="00F2417D"/>
    <w:rsid w:val="00F775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DC731B"/>
  <w14:defaultImageDpi w14:val="330"/>
  <w15:docId w15:val="{E17F98DE-E812-4396-81C7-FF1712B34E39}"/>
  <w:updateFields w:val="true"/>
  <w:embedTrueTypeFonts w:val="false"/>
  <w:saveSubsetFonts w:val="false"/>
  <w:embedSystem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宋体" w:eastAsia="宋体" w:hAnsi="宋体" w:cs="宋体" w:hint="eastAsia"/>
        <w:color w:val="000000"/>
        <w:sz w:val="24"/>
        <w:szCs w:val="24"/>
        <w:lang w:val="zh-CN"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napToGrid w:val="0"/>
      <w:spacing w:after="80" w:line="308" w:lineRule="exact"/>
    </w:pPr>
  </w:style>
  <w:style w:type="paragraph" w:styleId="1">
    <w:name w:val="heading 1"/>
    <w:basedOn w:val="a1"/>
    <w:next w:val="a1"/>
    <w:link w:val="10"/>
    <w:uiPriority w:val="9"/>
    <w:qFormat/>
    <w:rsid w:val="00FC693F"/>
    <w:pPr>
      <w:keepNext/>
      <w:keepLines/>
      <w:spacing w:before="220" w:line="420" w:lineRule="exact"/>
      <w:outlineLvl w:val="0"/>
    </w:pPr>
    <w:rPr>
      <w:rFonts w:ascii="黑体" w:eastAsia="黑体" w:hAnsi="黑体" w:cs="黑体"/>
      <w:b/>
      <w:bCs/>
      <w:sz w:val="30"/>
      <w:szCs w:val="30"/>
    </w:rPr>
  </w:style>
  <w:style w:type="paragraph" w:styleId="21">
    <w:name w:val="heading 2"/>
    <w:basedOn w:val="a1"/>
    <w:next w:val="a1"/>
    <w:link w:val="22"/>
    <w:uiPriority w:val="9"/>
    <w:unhideWhenUsed/>
    <w:qFormat/>
    <w:rsid w:val="00FC693F"/>
    <w:pPr>
      <w:keepNext/>
      <w:keepLines/>
      <w:spacing w:before="220" w:line="336" w:lineRule="exact"/>
      <w:outlineLvl w:val="1"/>
    </w:pPr>
    <w:rPr>
      <w:rFonts w:ascii="黑体" w:eastAsia="黑体" w:hAnsi="黑体" w:cs="黑体"/>
      <w:b/>
      <w:bCs/>
      <w:sz w:val="25"/>
      <w:szCs w:val="25"/>
    </w:rPr>
  </w:style>
  <w:style w:type="paragraph" w:styleId="31">
    <w:name w:val="heading 3"/>
    <w:basedOn w:val="a1"/>
    <w:next w:val="a1"/>
    <w:link w:val="32"/>
    <w:uiPriority w:val="9"/>
    <w:unhideWhenUsed/>
    <w:qFormat/>
    <w:rsid w:val="00FC693F"/>
    <w:pPr>
      <w:keepNext/>
      <w:keepLines/>
      <w:spacing w:before="200" w:after="0"/>
      <w:outlineLvl w:val="2"/>
    </w:pPr>
    <w:rPr>
      <w:rFonts w:ascii="黑体" w:eastAsia="黑体" w:hAnsi="黑体" w:cs="黑体"/>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黑体" w:eastAsia="黑体" w:hAnsi="黑体" w:cs="黑体"/>
      <w:b/>
      <w:bCs/>
      <w:iCs/>
    </w:rPr>
  </w:style>
  <w:style w:type="paragraph" w:styleId="5">
    <w:name w:val="heading 5"/>
    <w:basedOn w:val="a1"/>
    <w:next w:val="a1"/>
    <w:link w:val="50"/>
    <w:uiPriority w:val="9"/>
    <w:semiHidden/>
    <w:unhideWhenUsed/>
    <w:qFormat/>
    <w:rsid w:val="00FC693F"/>
    <w:pPr>
      <w:keepNext/>
      <w:keepLines/>
      <w:spacing w:before="200" w:after="0"/>
      <w:outlineLvl w:val="4"/>
    </w:pPr>
    <w:rPr>
      <w:rFonts w:ascii="宋体" w:eastAsia="宋体" w:hAnsi="宋体" w:cs="宋体"/>
    </w:rPr>
  </w:style>
  <w:style w:type="paragraph" w:styleId="6">
    <w:name w:val="heading 6"/>
    <w:basedOn w:val="a1"/>
    <w:next w:val="a1"/>
    <w:link w:val="60"/>
    <w:uiPriority w:val="9"/>
    <w:semiHidden/>
    <w:unhideWhenUsed/>
    <w:qFormat/>
    <w:rsid w:val="00FC693F"/>
    <w:pPr>
      <w:keepNext/>
      <w:keepLines/>
      <w:spacing w:before="200" w:after="0"/>
      <w:outlineLvl w:val="5"/>
    </w:pPr>
    <w:rPr>
      <w:rFonts w:ascii="宋体" w:eastAsia="宋体" w:hAnsi="宋体" w:cs="宋体"/>
      <w:iCs/>
    </w:rPr>
  </w:style>
  <w:style w:type="paragraph" w:styleId="7">
    <w:name w:val="heading 7"/>
    <w:basedOn w:val="a1"/>
    <w:next w:val="a1"/>
    <w:link w:val="70"/>
    <w:uiPriority w:val="9"/>
    <w:semiHidden/>
    <w:unhideWhenUsed/>
    <w:qFormat/>
    <w:rsid w:val="00FC693F"/>
    <w:pPr>
      <w:keepNext/>
      <w:keepLines/>
      <w:spacing w:before="200" w:after="0"/>
      <w:outlineLvl w:val="6"/>
    </w:pPr>
    <w:rPr>
      <w:rFonts w:ascii="宋体" w:eastAsia="宋体" w:hAnsi="宋体" w:cs="宋体"/>
      <w:iCs/>
    </w:rPr>
  </w:style>
  <w:style w:type="paragraph" w:styleId="8">
    <w:name w:val="heading 8"/>
    <w:basedOn w:val="a1"/>
    <w:next w:val="a1"/>
    <w:link w:val="80"/>
    <w:uiPriority w:val="9"/>
    <w:semiHidden/>
    <w:unhideWhenUsed/>
    <w:qFormat/>
    <w:rsid w:val="00FC693F"/>
    <w:pPr>
      <w:keepNext/>
      <w:keepLines/>
      <w:spacing w:before="200" w:after="0"/>
      <w:outlineLvl w:val="7"/>
    </w:pPr>
    <w:rPr>
      <w:rFonts w:ascii="宋体" w:eastAsia="宋体" w:hAnsi="宋体" w:cs="宋体"/>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宋体" w:eastAsia="宋体" w:hAnsi="宋体" w:cs="宋体"/>
      <w:iCs/>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rPr>
      <w:rFonts w:ascii="宋体" w:eastAsia="宋体" w:hAnsi="宋体" w:cs="宋体" w:hint="eastAsia"/>
      <w:i w:val="0"/>
      <w:color w:val="000000"/>
      <w:lang w:val="zh-CN" w:eastAsia="zh-CN"/>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rPr>
      <w:rFonts w:ascii="宋体" w:eastAsia="宋体" w:hAnsi="宋体" w:cs="宋体" w:hint="eastAsia"/>
      <w:i w:val="0"/>
      <w:color w:val="000000"/>
      <w:lang w:val="zh-CN" w:eastAsia="zh-CN"/>
    </w:rPr>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黑体" w:eastAsia="黑体" w:hAnsi="黑体" w:cs="黑体" w:hint="eastAsia"/>
      <w:b/>
      <w:bCs/>
      <w:i w:val="0"/>
      <w:color w:val="000000"/>
      <w:sz w:val="28"/>
      <w:szCs w:val="28"/>
      <w:lang w:val="zh-CN" w:eastAsia="zh-CN"/>
    </w:rPr>
  </w:style>
  <w:style w:type="character" w:customStyle="1" w:styleId="22">
    <w:name w:val="标题 2 字符"/>
    <w:basedOn w:val="a2"/>
    <w:link w:val="21"/>
    <w:uiPriority w:val="9"/>
    <w:rsid w:val="00FC693F"/>
    <w:rPr>
      <w:rFonts w:ascii="黑体" w:eastAsia="黑体" w:hAnsi="黑体" w:cs="黑体" w:hint="eastAsia"/>
      <w:b/>
      <w:bCs/>
      <w:i w:val="0"/>
      <w:color w:val="000000"/>
      <w:sz w:val="26"/>
      <w:szCs w:val="26"/>
      <w:lang w:val="zh-CN" w:eastAsia="zh-CN"/>
    </w:rPr>
  </w:style>
  <w:style w:type="character" w:customStyle="1" w:styleId="32">
    <w:name w:val="标题 3 字符"/>
    <w:basedOn w:val="a2"/>
    <w:link w:val="31"/>
    <w:uiPriority w:val="9"/>
    <w:rsid w:val="00FC693F"/>
    <w:rPr>
      <w:rFonts w:ascii="黑体" w:eastAsia="黑体" w:hAnsi="黑体" w:cs="黑体" w:hint="eastAsia"/>
      <w:b/>
      <w:bCs/>
      <w:i w:val="0"/>
      <w:color w:val="000000"/>
      <w:lang w:val="zh-CN" w:eastAsia="zh-CN"/>
    </w:rPr>
  </w:style>
  <w:style w:type="paragraph" w:styleId="aa">
    <w:name w:val="Title"/>
    <w:basedOn w:val="a1"/>
    <w:next w:val="a1"/>
    <w:link w:val="ab"/>
    <w:uiPriority w:val="10"/>
    <w:qFormat/>
    <w:rsid w:val="00FC693F"/>
    <w:pPr>
      <w:spacing w:line="700" w:lineRule="exact"/>
      <w:contextualSpacing/>
    </w:pPr>
    <w:rPr>
      <w:rFonts w:ascii="黑体" w:eastAsia="黑体" w:hAnsi="黑体" w:cs="黑体"/>
      <w:b/>
      <w:bCs/>
      <w:sz w:val="46"/>
      <w:szCs w:val="46"/>
    </w:rPr>
  </w:style>
  <w:style w:type="character" w:customStyle="1" w:styleId="ab">
    <w:name w:val="标题 字符"/>
    <w:basedOn w:val="a2"/>
    <w:link w:val="aa"/>
    <w:uiPriority w:val="10"/>
    <w:rsid w:val="00FC693F"/>
    <w:rPr>
      <w:rFonts w:ascii="宋体" w:eastAsia="宋体" w:hAnsi="宋体" w:cs="宋体" w:hint="eastAsia"/>
      <w:i w:val="0"/>
      <w:color w:val="000000"/>
      <w:sz w:val="52"/>
      <w:szCs w:val="52"/>
      <w:lang w:val="zh-CN" w:eastAsia="zh-CN"/>
    </w:rPr>
  </w:style>
  <w:style w:type="paragraph" w:styleId="ac">
    <w:name w:val="Subtitle"/>
    <w:basedOn w:val="a1"/>
    <w:next w:val="a1"/>
    <w:link w:val="ad"/>
    <w:uiPriority w:val="11"/>
    <w:qFormat/>
    <w:rsid w:val="00FC693F"/>
    <w:pPr>
      <w:numPr>
        <w:ilvl w:val="1"/>
      </w:numPr>
    </w:pPr>
    <w:rPr>
      <w:rFonts w:ascii="宋体" w:eastAsia="宋体" w:hAnsi="宋体" w:cs="宋体"/>
      <w:iCs/>
      <w:sz w:val="22"/>
      <w:szCs w:val="22"/>
    </w:rPr>
  </w:style>
  <w:style w:type="character" w:customStyle="1" w:styleId="ad">
    <w:name w:val="副标题 字符"/>
    <w:basedOn w:val="a2"/>
    <w:link w:val="ac"/>
    <w:uiPriority w:val="11"/>
    <w:rsid w:val="00FC693F"/>
    <w:rPr>
      <w:rFonts w:ascii="宋体" w:eastAsia="宋体" w:hAnsi="宋体" w:cs="宋体" w:hint="eastAsia"/>
      <w:i w:val="0"/>
      <w:iCs/>
      <w:color w:val="000000"/>
      <w:sz w:val="24"/>
      <w:szCs w:val="24"/>
      <w:lang w:val="zh-CN" w:eastAsia="zh-CN"/>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rPr>
      <w:rFonts w:ascii="宋体" w:eastAsia="宋体" w:hAnsi="宋体" w:cs="宋体" w:hint="eastAsia"/>
      <w:i w:val="0"/>
      <w:color w:val="000000"/>
      <w:lang w:val="zh-CN" w:eastAsia="zh-CN"/>
    </w:rPr>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rPr>
      <w:rFonts w:ascii="宋体" w:eastAsia="宋体" w:hAnsi="宋体" w:cs="宋体" w:hint="eastAsia"/>
      <w:i w:val="0"/>
      <w:color w:val="000000"/>
      <w:lang w:val="zh-CN" w:eastAsia="zh-CN"/>
    </w:rPr>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rFonts w:ascii="宋体" w:eastAsia="宋体" w:hAnsi="宋体" w:cs="宋体" w:hint="eastAsia"/>
      <w:i w:val="0"/>
      <w:color w:val="000000"/>
      <w:sz w:val="16"/>
      <w:szCs w:val="16"/>
      <w:lang w:val="zh-CN" w:eastAsia="zh-CN"/>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宏文本 字符"/>
    <w:basedOn w:val="a2"/>
    <w:link w:val="af3"/>
    <w:uiPriority w:val="99"/>
    <w:rsid w:val="0029639D"/>
    <w:rPr>
      <w:rFonts w:ascii="宋体" w:eastAsia="宋体" w:hAnsi="宋体" w:cs="宋体" w:hint="eastAsia"/>
      <w:i w:val="0"/>
      <w:color w:val="000000"/>
      <w:sz w:val="20"/>
      <w:szCs w:val="20"/>
      <w:lang w:val="zh-CN" w:eastAsia="zh-CN"/>
    </w:rPr>
  </w:style>
  <w:style w:type="paragraph" w:styleId="af5">
    <w:name w:val="Quote"/>
    <w:basedOn w:val="a1"/>
    <w:next w:val="a1"/>
    <w:link w:val="af6"/>
    <w:uiPriority w:val="29"/>
    <w:qFormat/>
    <w:rsid w:val="00FC693F"/>
    <w:rPr>
      <w:iCs/>
    </w:rPr>
  </w:style>
  <w:style w:type="character" w:customStyle="1" w:styleId="af6">
    <w:name w:val="引用 字符"/>
    <w:basedOn w:val="a2"/>
    <w:link w:val="af5"/>
    <w:uiPriority w:val="29"/>
    <w:rsid w:val="00FC693F"/>
    <w:rPr>
      <w:rFonts w:ascii="宋体" w:eastAsia="宋体" w:hAnsi="宋体" w:cs="宋体" w:hint="eastAsia"/>
      <w:i w:val="0"/>
      <w:iCs/>
      <w:color w:val="000000"/>
      <w:lang w:val="zh-CN" w:eastAsia="zh-CN"/>
    </w:rPr>
  </w:style>
  <w:style w:type="character" w:customStyle="1" w:styleId="40">
    <w:name w:val="标题 4 字符"/>
    <w:basedOn w:val="a2"/>
    <w:link w:val="4"/>
    <w:uiPriority w:val="9"/>
    <w:semiHidden/>
    <w:rsid w:val="00FC693F"/>
    <w:rPr>
      <w:rFonts w:ascii="黑体" w:eastAsia="黑体" w:hAnsi="黑体" w:cs="黑体" w:hint="eastAsia"/>
      <w:b/>
      <w:bCs/>
      <w:i w:val="0"/>
      <w:iCs/>
      <w:color w:val="000000"/>
      <w:lang w:val="zh-CN" w:eastAsia="zh-CN"/>
    </w:rPr>
  </w:style>
  <w:style w:type="character" w:customStyle="1" w:styleId="50">
    <w:name w:val="标题 5 字符"/>
    <w:basedOn w:val="a2"/>
    <w:link w:val="5"/>
    <w:uiPriority w:val="9"/>
    <w:semiHidden/>
    <w:rsid w:val="00FC693F"/>
    <w:rPr>
      <w:rFonts w:ascii="宋体" w:eastAsia="宋体" w:hAnsi="宋体" w:cs="宋体" w:hint="eastAsia"/>
      <w:i w:val="0"/>
      <w:color w:val="000000"/>
      <w:lang w:val="zh-CN" w:eastAsia="zh-CN"/>
    </w:rPr>
  </w:style>
  <w:style w:type="character" w:customStyle="1" w:styleId="60">
    <w:name w:val="标题 6 字符"/>
    <w:basedOn w:val="a2"/>
    <w:link w:val="6"/>
    <w:uiPriority w:val="9"/>
    <w:semiHidden/>
    <w:rsid w:val="00FC693F"/>
    <w:rPr>
      <w:rFonts w:ascii="宋体" w:eastAsia="宋体" w:hAnsi="宋体" w:cs="宋体" w:hint="eastAsia"/>
      <w:i w:val="0"/>
      <w:iCs/>
      <w:color w:val="000000"/>
      <w:lang w:val="zh-CN" w:eastAsia="zh-CN"/>
    </w:rPr>
  </w:style>
  <w:style w:type="character" w:customStyle="1" w:styleId="70">
    <w:name w:val="标题 7 字符"/>
    <w:basedOn w:val="a2"/>
    <w:link w:val="7"/>
    <w:uiPriority w:val="9"/>
    <w:semiHidden/>
    <w:rsid w:val="00FC693F"/>
    <w:rPr>
      <w:rFonts w:ascii="宋体" w:eastAsia="宋体" w:hAnsi="宋体" w:cs="宋体" w:hint="eastAsia"/>
      <w:i w:val="0"/>
      <w:iCs/>
      <w:color w:val="000000"/>
      <w:lang w:val="zh-CN" w:eastAsia="zh-CN"/>
    </w:rPr>
  </w:style>
  <w:style w:type="character" w:customStyle="1" w:styleId="80">
    <w:name w:val="标题 8 字符"/>
    <w:basedOn w:val="a2"/>
    <w:link w:val="8"/>
    <w:uiPriority w:val="9"/>
    <w:semiHidden/>
    <w:rsid w:val="00FC693F"/>
    <w:rPr>
      <w:rFonts w:ascii="宋体" w:eastAsia="宋体" w:hAnsi="宋体" w:cs="宋体" w:hint="eastAsia"/>
      <w:i w:val="0"/>
      <w:color w:val="000000"/>
      <w:sz w:val="20"/>
      <w:szCs w:val="20"/>
      <w:lang w:val="zh-CN" w:eastAsia="zh-CN"/>
    </w:rPr>
  </w:style>
  <w:style w:type="character" w:customStyle="1" w:styleId="90">
    <w:name w:val="标题 9 字符"/>
    <w:basedOn w:val="a2"/>
    <w:link w:val="9"/>
    <w:uiPriority w:val="9"/>
    <w:semiHidden/>
    <w:rsid w:val="00FC693F"/>
    <w:rPr>
      <w:rFonts w:ascii="宋体" w:eastAsia="宋体" w:hAnsi="宋体" w:cs="宋体" w:hint="eastAsia"/>
      <w:i w:val="0"/>
      <w:iCs/>
      <w:color w:val="000000"/>
      <w:sz w:val="20"/>
      <w:szCs w:val="20"/>
      <w:lang w:val="zh-CN" w:eastAsia="zh-CN"/>
    </w:rPr>
  </w:style>
  <w:style w:type="paragraph" w:styleId="af7">
    <w:name w:val="caption"/>
    <w:basedOn w:val="a1"/>
    <w:next w:val="a1"/>
    <w:uiPriority w:val="35"/>
    <w:semiHidden/>
    <w:unhideWhenUsed/>
    <w:qFormat/>
    <w:rsid w:val="00FC693F"/>
    <w:pPr>
      <w:spacing w:line="240" w:lineRule="auto"/>
    </w:pPr>
    <w:rPr>
      <w:b/>
      <w:bCs/>
      <w:sz w:val="18"/>
      <w:szCs w:val="18"/>
    </w:rPr>
  </w:style>
  <w:style w:type="character" w:styleId="af8">
    <w:name w:val="Strong"/>
    <w:basedOn w:val="a2"/>
    <w:uiPriority w:val="22"/>
    <w:qFormat/>
    <w:rsid w:val="00FC693F"/>
    <w:rPr>
      <w:rFonts w:ascii="黑体" w:eastAsia="黑体" w:hAnsi="黑体" w:cs="黑体" w:hint="eastAsia"/>
      <w:b/>
      <w:bCs/>
      <w:i w:val="0"/>
      <w:color w:val="000000"/>
      <w:lang w:val="zh-CN" w:eastAsia="zh-CN"/>
    </w:rPr>
  </w:style>
  <w:style w:type="character" w:styleId="af9">
    <w:name w:val="Emphasis"/>
    <w:basedOn w:val="a2"/>
    <w:uiPriority w:val="20"/>
    <w:qFormat/>
    <w:rsid w:val="00FC693F"/>
    <w:rPr>
      <w:rFonts w:ascii="宋体" w:eastAsia="宋体" w:hAnsi="宋体" w:cs="宋体" w:hint="eastAsia"/>
      <w:i w:val="0"/>
      <w:iCs/>
      <w:color w:val="000000"/>
      <w:lang w:val="zh-CN" w:eastAsia="zh-CN"/>
    </w:rPr>
  </w:style>
  <w:style w:type="paragraph" w:styleId="afa">
    <w:name w:val="Intense Quote"/>
    <w:basedOn w:val="a1"/>
    <w:next w:val="a1"/>
    <w:link w:val="afb"/>
    <w:uiPriority w:val="30"/>
    <w:qFormat/>
    <w:rsid w:val="00FC693F"/>
    <w:pPr>
      <w:spacing w:before="200" w:after="280"/>
      <w:ind w:left="936" w:right="936"/>
    </w:pPr>
    <w:rPr>
      <w:b/>
      <w:bCs/>
      <w:iCs/>
    </w:rPr>
  </w:style>
  <w:style w:type="character" w:customStyle="1" w:styleId="afb">
    <w:name w:val="明显引用 字符"/>
    <w:basedOn w:val="a2"/>
    <w:link w:val="afa"/>
    <w:uiPriority w:val="30"/>
    <w:rsid w:val="00FC693F"/>
    <w:rPr>
      <w:rFonts w:ascii="黑体" w:eastAsia="黑体" w:hAnsi="黑体" w:cs="黑体" w:hint="eastAsia"/>
      <w:b/>
      <w:bCs/>
      <w:i w:val="0"/>
      <w:iCs/>
      <w:color w:val="000000"/>
      <w:lang w:val="zh-CN" w:eastAsia="zh-CN"/>
    </w:rPr>
  </w:style>
  <w:style w:type="character" w:styleId="afc">
    <w:name w:val="Subtle Emphasis"/>
    <w:basedOn w:val="a2"/>
    <w:uiPriority w:val="19"/>
    <w:qFormat/>
    <w:rsid w:val="00FC693F"/>
    <w:rPr>
      <w:rFonts w:ascii="宋体" w:eastAsia="宋体" w:hAnsi="宋体" w:cs="宋体" w:hint="eastAsia"/>
      <w:i w:val="0"/>
      <w:iCs/>
      <w:color w:val="000000"/>
      <w:lang w:val="zh-CN" w:eastAsia="zh-CN"/>
    </w:rPr>
  </w:style>
  <w:style w:type="character" w:styleId="afd">
    <w:name w:val="Intense Emphasis"/>
    <w:basedOn w:val="a2"/>
    <w:uiPriority w:val="21"/>
    <w:qFormat/>
    <w:rsid w:val="00FC693F"/>
    <w:rPr>
      <w:rFonts w:ascii="黑体" w:eastAsia="黑体" w:hAnsi="黑体" w:cs="黑体" w:hint="eastAsia"/>
      <w:b/>
      <w:bCs/>
      <w:i w:val="0"/>
      <w:iCs/>
      <w:color w:val="000000"/>
      <w:lang w:val="zh-CN" w:eastAsia="zh-CN"/>
    </w:rPr>
  </w:style>
  <w:style w:type="character" w:styleId="afe">
    <w:name w:val="Subtle Reference"/>
    <w:basedOn w:val="a2"/>
    <w:uiPriority w:val="31"/>
    <w:qFormat/>
    <w:rsid w:val="00FC693F"/>
    <w:rPr>
      <w:rFonts w:ascii="宋体" w:eastAsia="宋体" w:hAnsi="宋体" w:cs="宋体" w:hint="eastAsia"/>
      <w:i w:val="0"/>
      <w:smallCaps/>
      <w:color w:val="000000"/>
      <w:u w:val="single"/>
      <w:lang w:val="zh-CN" w:eastAsia="zh-CN"/>
    </w:rPr>
  </w:style>
  <w:style w:type="character" w:styleId="aff">
    <w:name w:val="Intense Reference"/>
    <w:basedOn w:val="a2"/>
    <w:uiPriority w:val="32"/>
    <w:qFormat/>
    <w:rsid w:val="00FC693F"/>
    <w:rPr>
      <w:rFonts w:ascii="黑体" w:eastAsia="黑体" w:hAnsi="黑体" w:cs="黑体" w:hint="eastAsia"/>
      <w:b/>
      <w:bCs/>
      <w:i w:val="0"/>
      <w:smallCaps/>
      <w:color w:val="000000"/>
      <w:u w:val="single"/>
      <w:lang w:val="zh-CN" w:eastAsia="zh-CN"/>
    </w:rPr>
  </w:style>
  <w:style w:type="character" w:styleId="aff0">
    <w:name w:val="Book Title"/>
    <w:basedOn w:val="a2"/>
    <w:uiPriority w:val="33"/>
    <w:qFormat/>
    <w:rsid w:val="00FC693F"/>
    <w:rPr>
      <w:rFonts w:ascii="黑体" w:eastAsia="黑体" w:hAnsi="黑体" w:cs="黑体" w:hint="eastAsia"/>
      <w:b/>
      <w:bCs/>
      <w:i w:val="0"/>
      <w:smallCaps/>
      <w:color w:val="000000"/>
      <w:lang w:val="zh-CN" w:eastAsia="zh-CN"/>
    </w:rPr>
  </w:style>
  <w:style w:type="paragraph" w:styleId="TOC">
    <w:name w:val="TOC Heading"/>
    <w:basedOn w:val="1"/>
    <w:next w:val="a1"/>
    <w:uiPriority w:val="39"/>
    <w:semiHidden/>
    <w:unhideWhenUsed/>
    <w:qFormat/>
    <w:rsid w:val="00FC693F"/>
    <w:pPr>
      <w:outlineLvl w:val="9"/>
    </w:pPr>
    <w:rPr>
      <w:rFonts w:ascii="宋体" w:eastAsia="宋体" w:hAnsi="宋体" w:cs="宋体"/>
    </w:r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1">
    <w:name w:val="Light Shading Accent 1"/>
    <w:basedOn w:val="a3"/>
    <w:uiPriority w:val="60"/>
    <w:rsid w:val="00FC693F"/>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2">
    <w:name w:val="Light Shading Accent 2"/>
    <w:basedOn w:val="a3"/>
    <w:uiPriority w:val="60"/>
    <w:rsid w:val="00FC693F"/>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3">
    <w:name w:val="Light Shading Accent 3"/>
    <w:basedOn w:val="a3"/>
    <w:uiPriority w:val="60"/>
    <w:rsid w:val="00FC693F"/>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4">
    <w:name w:val="Light Shading Accent 4"/>
    <w:basedOn w:val="a3"/>
    <w:uiPriority w:val="60"/>
    <w:rsid w:val="00FC693F"/>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5">
    <w:name w:val="Light Shading Accent 5"/>
    <w:basedOn w:val="a3"/>
    <w:uiPriority w:val="60"/>
    <w:rsid w:val="00FC693F"/>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6">
    <w:name w:val="Light Shading Accent 6"/>
    <w:basedOn w:val="a3"/>
    <w:uiPriority w:val="60"/>
    <w:rsid w:val="00FC693F"/>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黑体" w:eastAsia="黑体" w:hAnsi="黑体" w:cs="黑体"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黑体" w:eastAsia="黑体" w:hAnsi="黑体" w:cs="黑体"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黑体" w:eastAsia="黑体" w:hAnsi="黑体" w:cs="黑体" w:hint="eastAsia"/>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黑体" w:eastAsia="黑体" w:hAnsi="黑体" w:cs="黑体" w:hint="eastAsia"/>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黑体" w:eastAsia="黑体" w:hAnsi="黑体" w:cs="黑体" w:hint="eastAsia"/>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黑体" w:eastAsia="黑体" w:hAnsi="黑体" w:cs="黑体" w:hint="eastAsia"/>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黑体" w:eastAsia="黑体" w:hAnsi="黑体" w:cs="黑体" w:hint="eastAsia"/>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黑体" w:eastAsia="黑体" w:hAnsi="黑体" w:cs="黑体" w:hint="eastAsia"/>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黑体" w:eastAsia="黑体" w:hAnsi="黑体" w:cs="黑体" w:hint="eastAsia"/>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黑体" w:eastAsia="黑体" w:hAnsi="黑体" w:cs="黑体" w:hint="eastAsia"/>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黑体" w:eastAsia="黑体" w:hAnsi="黑体" w:cs="黑体" w:hint="eastAsia"/>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黑体" w:eastAsia="黑体" w:hAnsi="黑体" w:cs="黑体" w:hint="eastAsia"/>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黑体" w:eastAsia="黑体" w:hAnsi="黑体" w:cs="黑体" w:hint="eastAsia"/>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黑体" w:eastAsia="黑体" w:hAnsi="黑体" w:cs="黑体" w:hint="eastAsia"/>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黑体" w:eastAsia="黑体" w:hAnsi="黑体" w:cs="黑体" w:hint="eastAsia"/>
        <w:b/>
        <w:bCs/>
      </w:rPr>
    </w:tblStylePr>
    <w:tblStylePr w:type="lastCol">
      <w:rPr>
        <w:rFonts w:ascii="黑体" w:eastAsia="黑体" w:hAnsi="黑体" w:cs="黑体" w:hint="eastAsia"/>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tcPr>
    </w:tblStylePr>
    <w:tblStylePr w:type="lastCol">
      <w:rPr>
        <w:b/>
        <w:bCs/>
        <w:color w:val="FFFFFF" w:themeColor="background1"/>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宋体" w:eastAsia="宋体" w:hAnsi="宋体" w:cs="宋体" w:hint="eastAsia"/>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1-10">
    <w:name w:val="Medium List 1 Accent 1"/>
    <w:basedOn w:val="a3"/>
    <w:uiPriority w:val="65"/>
    <w:rsid w:val="00CB0664"/>
    <w:pPr>
      <w:spacing w:after="0" w:line="240" w:lineRule="auto"/>
    </w:pPr>
    <w:tblPr>
      <w:tblStyleRowBandSize w:val="1"/>
      <w:tblStyleColBandSize w:val="1"/>
      <w:tblBorders>
        <w:top w:val="single" w:sz="8" w:space="0" w:color="4F81BD" w:themeColor="accent1"/>
        <w:bottom w:val="single" w:sz="8" w:space="0" w:color="4F81BD" w:themeColor="accent1"/>
      </w:tblBorders>
    </w:tblPr>
    <w:tblStylePr w:type="firstRow">
      <w:rPr>
        <w:rFonts w:ascii="宋体" w:eastAsia="宋体" w:hAnsi="宋体" w:cs="宋体" w:hint="eastAsia"/>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1-20">
    <w:name w:val="Medium List 1 Accent 2"/>
    <w:basedOn w:val="a3"/>
    <w:uiPriority w:val="65"/>
    <w:rsid w:val="00CB0664"/>
    <w:pPr>
      <w:spacing w:after="0" w:line="240" w:lineRule="auto"/>
    </w:pPr>
    <w:tblPr>
      <w:tblStyleRowBandSize w:val="1"/>
      <w:tblStyleColBandSize w:val="1"/>
      <w:tblBorders>
        <w:top w:val="single" w:sz="8" w:space="0" w:color="C0504D" w:themeColor="accent2"/>
        <w:bottom w:val="single" w:sz="8" w:space="0" w:color="C0504D" w:themeColor="accent2"/>
      </w:tblBorders>
    </w:tblPr>
    <w:tblStylePr w:type="firstRow">
      <w:rPr>
        <w:rFonts w:ascii="宋体" w:eastAsia="宋体" w:hAnsi="宋体" w:cs="宋体" w:hint="eastAsia"/>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1-30">
    <w:name w:val="Medium List 1 Accent 3"/>
    <w:basedOn w:val="a3"/>
    <w:uiPriority w:val="65"/>
    <w:rsid w:val="00CB0664"/>
    <w:pPr>
      <w:spacing w:after="0" w:line="240" w:lineRule="auto"/>
    </w:pPr>
    <w:tblPr>
      <w:tblStyleRowBandSize w:val="1"/>
      <w:tblStyleColBandSize w:val="1"/>
      <w:tblBorders>
        <w:top w:val="single" w:sz="8" w:space="0" w:color="9BBB59" w:themeColor="accent3"/>
        <w:bottom w:val="single" w:sz="8" w:space="0" w:color="9BBB59" w:themeColor="accent3"/>
      </w:tblBorders>
    </w:tblPr>
    <w:tblStylePr w:type="firstRow">
      <w:rPr>
        <w:rFonts w:ascii="宋体" w:eastAsia="宋体" w:hAnsi="宋体" w:cs="宋体" w:hint="eastAsia"/>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1-40">
    <w:name w:val="Medium List 1 Accent 4"/>
    <w:basedOn w:val="a3"/>
    <w:uiPriority w:val="65"/>
    <w:rsid w:val="00CB0664"/>
    <w:pPr>
      <w:spacing w:after="0" w:line="240" w:lineRule="auto"/>
    </w:pPr>
    <w:tblPr>
      <w:tblStyleRowBandSize w:val="1"/>
      <w:tblStyleColBandSize w:val="1"/>
      <w:tblBorders>
        <w:top w:val="single" w:sz="8" w:space="0" w:color="8064A2" w:themeColor="accent4"/>
        <w:bottom w:val="single" w:sz="8" w:space="0" w:color="8064A2" w:themeColor="accent4"/>
      </w:tblBorders>
    </w:tblPr>
    <w:tblStylePr w:type="firstRow">
      <w:rPr>
        <w:rFonts w:ascii="宋体" w:eastAsia="宋体" w:hAnsi="宋体" w:cs="宋体" w:hint="eastAsia"/>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1-50">
    <w:name w:val="Medium List 1 Accent 5"/>
    <w:basedOn w:val="a3"/>
    <w:uiPriority w:val="65"/>
    <w:rsid w:val="00CB0664"/>
    <w:pPr>
      <w:spacing w:after="0" w:line="240" w:lineRule="auto"/>
    </w:pPr>
    <w:tblPr>
      <w:tblStyleRowBandSize w:val="1"/>
      <w:tblStyleColBandSize w:val="1"/>
      <w:tblBorders>
        <w:top w:val="single" w:sz="8" w:space="0" w:color="4BACC6" w:themeColor="accent5"/>
        <w:bottom w:val="single" w:sz="8" w:space="0" w:color="4BACC6" w:themeColor="accent5"/>
      </w:tblBorders>
    </w:tblPr>
    <w:tblStylePr w:type="firstRow">
      <w:rPr>
        <w:rFonts w:ascii="宋体" w:eastAsia="宋体" w:hAnsi="宋体" w:cs="宋体" w:hint="eastAsia"/>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1-60">
    <w:name w:val="Medium List 1 Accent 6"/>
    <w:basedOn w:val="a3"/>
    <w:uiPriority w:val="65"/>
    <w:rsid w:val="00CB0664"/>
    <w:pPr>
      <w:spacing w:after="0" w:line="240" w:lineRule="auto"/>
    </w:pPr>
    <w:tblPr>
      <w:tblStyleRowBandSize w:val="1"/>
      <w:tblStyleColBandSize w:val="1"/>
      <w:tblBorders>
        <w:top w:val="single" w:sz="8" w:space="0" w:color="F79646" w:themeColor="accent6"/>
        <w:bottom w:val="single" w:sz="8" w:space="0" w:color="F79646" w:themeColor="accent6"/>
      </w:tblBorders>
    </w:tblPr>
    <w:tblStylePr w:type="firstRow">
      <w:rPr>
        <w:rFonts w:ascii="宋体" w:eastAsia="宋体" w:hAnsi="宋体" w:cs="宋体" w:hint="eastAsia"/>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28">
    <w:name w:val="Medium List 2"/>
    <w:basedOn w:val="a3"/>
    <w:uiPriority w:val="66"/>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tcPr>
    </w:tblStylePr>
    <w:tblStylePr w:type="lastRow">
      <w:tblPr/>
      <w:tcPr>
        <w:tcBorders>
          <w:top w:val="single" w:sz="8" w:space="0" w:color="000000" w:themeColor="text1"/>
          <w:left w:val="nil"/>
          <w:bottom w:val="nil"/>
          <w:right w:val="nil"/>
          <w:insideH w:val="nil"/>
          <w:insideV w:val="nil"/>
        </w:tcBorders>
      </w:tcPr>
    </w:tblStylePr>
    <w:tblStylePr w:type="firstCol">
      <w:tblPr/>
      <w:tcPr>
        <w:tcBorders>
          <w:top w:val="nil"/>
          <w:left w:val="nil"/>
          <w:bottom w:val="nil"/>
          <w:right w:val="single" w:sz="8" w:space="0" w:color="000000" w:themeColor="text1"/>
          <w:insideH w:val="nil"/>
          <w:insideV w:val="nil"/>
        </w:tcBorders>
      </w:tcPr>
    </w:tblStylePr>
    <w:tblStylePr w:type="lastCol">
      <w:tblPr/>
      <w:tcPr>
        <w:tcBorders>
          <w:top w:val="nil"/>
          <w:left w:val="single" w:sz="8" w:space="0" w:color="000000" w:themeColor="tex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tcPr>
    </w:tblStylePr>
    <w:tblStylePr w:type="lastRow">
      <w:tblPr/>
      <w:tcPr>
        <w:tcBorders>
          <w:top w:val="single" w:sz="8" w:space="0" w:color="4F81BD" w:themeColor="accent1"/>
          <w:left w:val="nil"/>
          <w:bottom w:val="nil"/>
          <w:right w:val="nil"/>
          <w:insideH w:val="nil"/>
          <w:insideV w:val="nil"/>
        </w:tcBorders>
      </w:tcPr>
    </w:tblStylePr>
    <w:tblStylePr w:type="firstCol">
      <w:tblPr/>
      <w:tcPr>
        <w:tcBorders>
          <w:top w:val="nil"/>
          <w:left w:val="nil"/>
          <w:bottom w:val="nil"/>
          <w:right w:val="single" w:sz="8" w:space="0" w:color="4F81BD" w:themeColor="accent1"/>
          <w:insideH w:val="nil"/>
          <w:insideV w:val="nil"/>
        </w:tcBorders>
      </w:tcPr>
    </w:tblStylePr>
    <w:tblStylePr w:type="lastCol">
      <w:tblPr/>
      <w:tcPr>
        <w:tcBorders>
          <w:top w:val="nil"/>
          <w:left w:val="single" w:sz="8" w:space="0" w:color="4F81BD" w:themeColor="accent1"/>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tcPr>
    </w:tblStylePr>
    <w:tblStylePr w:type="lastRow">
      <w:tblPr/>
      <w:tcPr>
        <w:tcBorders>
          <w:top w:val="single" w:sz="8" w:space="0" w:color="C0504D" w:themeColor="accent2"/>
          <w:left w:val="nil"/>
          <w:bottom w:val="nil"/>
          <w:right w:val="nil"/>
          <w:insideH w:val="nil"/>
          <w:insideV w:val="nil"/>
        </w:tcBorders>
      </w:tcPr>
    </w:tblStylePr>
    <w:tblStylePr w:type="firstCol">
      <w:tblPr/>
      <w:tcPr>
        <w:tcBorders>
          <w:top w:val="nil"/>
          <w:left w:val="nil"/>
          <w:bottom w:val="nil"/>
          <w:right w:val="single" w:sz="8" w:space="0" w:color="C0504D" w:themeColor="accent2"/>
          <w:insideH w:val="nil"/>
          <w:insideV w:val="nil"/>
        </w:tcBorders>
      </w:tcPr>
    </w:tblStylePr>
    <w:tblStylePr w:type="lastCol">
      <w:tblPr/>
      <w:tcPr>
        <w:tcBorders>
          <w:top w:val="nil"/>
          <w:left w:val="single" w:sz="8" w:space="0" w:color="C0504D" w:themeColor="accent2"/>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tcPr>
    </w:tblStylePr>
    <w:tblStylePr w:type="lastRow">
      <w:tblPr/>
      <w:tcPr>
        <w:tcBorders>
          <w:top w:val="single" w:sz="8" w:space="0" w:color="9BBB59" w:themeColor="accent3"/>
          <w:left w:val="nil"/>
          <w:bottom w:val="nil"/>
          <w:right w:val="nil"/>
          <w:insideH w:val="nil"/>
          <w:insideV w:val="nil"/>
        </w:tcBorders>
      </w:tcPr>
    </w:tblStylePr>
    <w:tblStylePr w:type="firstCol">
      <w:tblPr/>
      <w:tcPr>
        <w:tcBorders>
          <w:top w:val="nil"/>
          <w:left w:val="nil"/>
          <w:bottom w:val="nil"/>
          <w:right w:val="single" w:sz="8" w:space="0" w:color="9BBB59" w:themeColor="accent3"/>
          <w:insideH w:val="nil"/>
          <w:insideV w:val="nil"/>
        </w:tcBorders>
      </w:tcPr>
    </w:tblStylePr>
    <w:tblStylePr w:type="lastCol">
      <w:tblPr/>
      <w:tcPr>
        <w:tcBorders>
          <w:top w:val="nil"/>
          <w:left w:val="single" w:sz="8" w:space="0" w:color="9BBB59" w:themeColor="accent3"/>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tcPr>
    </w:tblStylePr>
    <w:tblStylePr w:type="lastRow">
      <w:tblPr/>
      <w:tcPr>
        <w:tcBorders>
          <w:top w:val="single" w:sz="8" w:space="0" w:color="8064A2" w:themeColor="accent4"/>
          <w:left w:val="nil"/>
          <w:bottom w:val="nil"/>
          <w:right w:val="nil"/>
          <w:insideH w:val="nil"/>
          <w:insideV w:val="nil"/>
        </w:tcBorders>
      </w:tcPr>
    </w:tblStylePr>
    <w:tblStylePr w:type="firstCol">
      <w:tblPr/>
      <w:tcPr>
        <w:tcBorders>
          <w:top w:val="nil"/>
          <w:left w:val="nil"/>
          <w:bottom w:val="nil"/>
          <w:right w:val="single" w:sz="8" w:space="0" w:color="8064A2" w:themeColor="accent4"/>
          <w:insideH w:val="nil"/>
          <w:insideV w:val="nil"/>
        </w:tcBorders>
      </w:tcPr>
    </w:tblStylePr>
    <w:tblStylePr w:type="lastCol">
      <w:tblPr/>
      <w:tcPr>
        <w:tcBorders>
          <w:top w:val="nil"/>
          <w:left w:val="single" w:sz="8" w:space="0" w:color="8064A2" w:themeColor="accent4"/>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tcPr>
    </w:tblStylePr>
    <w:tblStylePr w:type="lastRow">
      <w:tblPr/>
      <w:tcPr>
        <w:tcBorders>
          <w:top w:val="single" w:sz="8" w:space="0" w:color="4BACC6" w:themeColor="accent5"/>
          <w:left w:val="nil"/>
          <w:bottom w:val="nil"/>
          <w:right w:val="nil"/>
          <w:insideH w:val="nil"/>
          <w:insideV w:val="nil"/>
        </w:tcBorders>
      </w:tcPr>
    </w:tblStylePr>
    <w:tblStylePr w:type="firstCol">
      <w:tblPr/>
      <w:tcPr>
        <w:tcBorders>
          <w:top w:val="nil"/>
          <w:left w:val="nil"/>
          <w:bottom w:val="nil"/>
          <w:right w:val="single" w:sz="8" w:space="0" w:color="4BACC6" w:themeColor="accent5"/>
          <w:insideH w:val="nil"/>
          <w:insideV w:val="nil"/>
        </w:tcBorders>
      </w:tcPr>
    </w:tblStylePr>
    <w:tblStylePr w:type="lastCol">
      <w:tblPr/>
      <w:tcPr>
        <w:tcBorders>
          <w:top w:val="nil"/>
          <w:left w:val="single" w:sz="8" w:space="0" w:color="4BACC6" w:themeColor="accent5"/>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tcPr>
    </w:tblStylePr>
    <w:tblStylePr w:type="lastRow">
      <w:tblPr/>
      <w:tcPr>
        <w:tcBorders>
          <w:top w:val="single" w:sz="8" w:space="0" w:color="F79646" w:themeColor="accent6"/>
          <w:left w:val="nil"/>
          <w:bottom w:val="nil"/>
          <w:right w:val="nil"/>
          <w:insideH w:val="nil"/>
          <w:insideV w:val="nil"/>
        </w:tcBorders>
      </w:tcPr>
    </w:tblStylePr>
    <w:tblStylePr w:type="firstCol">
      <w:tblPr/>
      <w:tcPr>
        <w:tcBorders>
          <w:top w:val="nil"/>
          <w:left w:val="nil"/>
          <w:bottom w:val="nil"/>
          <w:right w:val="single" w:sz="8" w:space="0" w:color="F79646" w:themeColor="accent6"/>
          <w:insideH w:val="nil"/>
          <w:insideV w:val="nil"/>
        </w:tcBorders>
      </w:tcPr>
    </w:tblStylePr>
    <w:tblStylePr w:type="lastCol">
      <w:tblPr/>
      <w:tcPr>
        <w:tcBorders>
          <w:top w:val="nil"/>
          <w:left w:val="single" w:sz="8" w:space="0" w:color="F79646" w:themeColor="accent6"/>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styleId="29">
    <w:name w:val="Medium Grid 2"/>
    <w:basedOn w:val="a3"/>
    <w:uiPriority w:val="68"/>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000000" w:themeColor="text1"/>
          <w:insideV w:val="single" w:sz="6" w:space="0" w:color="000000" w:themeColor="text1"/>
        </w:tcBorders>
      </w:tcPr>
    </w:tblStylePr>
  </w:style>
  <w:style w:type="table" w:styleId="2-11">
    <w:name w:val="Medium Grid 2 Accent 1"/>
    <w:basedOn w:val="a3"/>
    <w:uiPriority w:val="68"/>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F81BD" w:themeColor="accent1"/>
          <w:insideV w:val="single" w:sz="6" w:space="0" w:color="4F81BD" w:themeColor="accent1"/>
        </w:tcBorders>
      </w:tcPr>
    </w:tblStylePr>
  </w:style>
  <w:style w:type="table" w:styleId="2-21">
    <w:name w:val="Medium Grid 2 Accent 2"/>
    <w:basedOn w:val="a3"/>
    <w:uiPriority w:val="68"/>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C0504D" w:themeColor="accent2"/>
          <w:insideV w:val="single" w:sz="6" w:space="0" w:color="C0504D" w:themeColor="accent2"/>
        </w:tcBorders>
      </w:tcPr>
    </w:tblStylePr>
  </w:style>
  <w:style w:type="table" w:styleId="2-31">
    <w:name w:val="Medium Grid 2 Accent 3"/>
    <w:basedOn w:val="a3"/>
    <w:uiPriority w:val="68"/>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9BBB59" w:themeColor="accent3"/>
          <w:insideV w:val="single" w:sz="6" w:space="0" w:color="9BBB59" w:themeColor="accent3"/>
        </w:tcBorders>
      </w:tcPr>
    </w:tblStylePr>
  </w:style>
  <w:style w:type="table" w:styleId="2-41">
    <w:name w:val="Medium Grid 2 Accent 4"/>
    <w:basedOn w:val="a3"/>
    <w:uiPriority w:val="68"/>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8064A2" w:themeColor="accent4"/>
          <w:insideV w:val="single" w:sz="6" w:space="0" w:color="8064A2" w:themeColor="accent4"/>
        </w:tcBorders>
      </w:tcPr>
    </w:tblStylePr>
  </w:style>
  <w:style w:type="table" w:styleId="2-51">
    <w:name w:val="Medium Grid 2 Accent 5"/>
    <w:basedOn w:val="a3"/>
    <w:uiPriority w:val="68"/>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4BACC6" w:themeColor="accent5"/>
          <w:insideV w:val="single" w:sz="6" w:space="0" w:color="4BACC6" w:themeColor="accent5"/>
        </w:tcBorders>
      </w:tcPr>
    </w:tblStylePr>
  </w:style>
  <w:style w:type="table" w:styleId="2-61">
    <w:name w:val="Medium Grid 2 Accent 6"/>
    <w:basedOn w:val="a3"/>
    <w:uiPriority w:val="68"/>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rPr>
        <w:b/>
        <w:bCs/>
        <w:color w:val="000000" w:themeColor="text1"/>
      </w:rPr>
    </w:tblStylePr>
    <w:tblStylePr w:type="lastRow">
      <w:rPr>
        <w:b/>
        <w:bCs/>
        <w:color w:val="000000" w:themeColor="text1"/>
      </w:rPr>
      <w:tblPr/>
      <w:tcPr>
        <w:tcBorders>
          <w:top w:val="single" w:sz="12" w:space="0" w:color="000000" w:themeColor="text1"/>
          <w:left w:val="nil"/>
          <w:bottom w:val="nil"/>
          <w:right w:val="nil"/>
          <w:insideH w:val="nil"/>
          <w:insideV w:val="nil"/>
        </w:tcBorders>
      </w:tcPr>
    </w:tblStylePr>
    <w:tblStylePr w:type="firstCol">
      <w:rPr>
        <w:b/>
        <w:bCs/>
        <w:color w:val="000000" w:themeColor="text1"/>
      </w:rPr>
      <w:tblPr/>
      <w:tcPr>
        <w:tcBorders>
          <w:top w:val="nil"/>
          <w:left w:val="nil"/>
          <w:bottom w:val="nil"/>
          <w:right w:val="nil"/>
          <w:insideH w:val="nil"/>
          <w:insideV w:val="nil"/>
        </w:tcBorders>
      </w:tcPr>
    </w:tblStylePr>
    <w:tblStylePr w:type="lastCol">
      <w:rPr>
        <w:b w:val="0"/>
        <w:bCs w:val="0"/>
        <w:color w:val="000000" w:themeColor="text1"/>
      </w:rPr>
      <w:tblPr/>
      <w:tcPr>
        <w:tcBorders>
          <w:top w:val="nil"/>
          <w:left w:val="nil"/>
          <w:bottom w:val="nil"/>
          <w:right w:val="nil"/>
          <w:insideH w:val="nil"/>
          <w:insideV w:val="nil"/>
        </w:tcBorders>
      </w:tcPr>
    </w:tblStylePr>
    <w:tblStylePr w:type="band1Horz">
      <w:tblPr/>
      <w:tcPr>
        <w:tcBorders>
          <w:insideH w:val="single" w:sz="6" w:space="0" w:color="F79646" w:themeColor="accent6"/>
          <w:insideV w:val="single" w:sz="6" w:space="0" w:color="F79646" w:themeColor="accent6"/>
        </w:tcBorders>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tcPr>
    </w:tblStylePr>
  </w:style>
  <w:style w:type="table" w:styleId="aff5">
    <w:name w:val="Dark List"/>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12">
    <w:name w:val="Dark List Accent 1"/>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22">
    <w:name w:val="Dark List Accent 2"/>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32">
    <w:name w:val="Dark List Accent 3"/>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42">
    <w:name w:val="Dark List Accent 4"/>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52">
    <w:name w:val="Dark List Accent 5"/>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62">
    <w:name w:val="Dark List Accent 6"/>
    <w:basedOn w:val="a3"/>
    <w:uiPriority w:val="70"/>
    <w:rsid w:val="00CB0664"/>
    <w:pPr>
      <w:spacing w:after="0" w:line="240" w:lineRule="auto"/>
    </w:pPr>
    <w:tblPr>
      <w:tblStyleRowBandSize w:val="1"/>
      <w:tblStyleColBandSize w:val="1"/>
    </w:tblPr>
    <w:tblStylePr w:type="firstRow">
      <w:rPr>
        <w:b/>
        <w:bCs/>
      </w:rPr>
      <w:tblPr/>
      <w:tcPr>
        <w:tcBorders>
          <w:top w:val="nil"/>
          <w:left w:val="nil"/>
          <w:bottom w:val="single" w:sz="18" w:space="0" w:color="FFFFFF" w:themeColor="background1"/>
          <w:right w:val="nil"/>
          <w:insideH w:val="nil"/>
          <w:insideV w:val="nil"/>
        </w:tcBorders>
      </w:tcPr>
    </w:tblStylePr>
    <w:tblStylePr w:type="lastRow">
      <w:tblPr/>
      <w:tcPr>
        <w:tcBorders>
          <w:top w:val="single" w:sz="18" w:space="0" w:color="FFFFFF" w:themeColor="background1"/>
          <w:left w:val="nil"/>
          <w:bottom w:val="nil"/>
          <w:right w:val="nil"/>
          <w:insideH w:val="nil"/>
          <w:insideV w:val="nil"/>
        </w:tcBorders>
      </w:tcPr>
    </w:tblStylePr>
    <w:tblStylePr w:type="firstCol">
      <w:tblPr/>
      <w:tcPr>
        <w:tcBorders>
          <w:top w:val="nil"/>
          <w:left w:val="nil"/>
          <w:bottom w:val="nil"/>
          <w:right w:val="single" w:sz="18" w:space="0" w:color="FFFFFF" w:themeColor="background1"/>
          <w:insideH w:val="nil"/>
          <w:insideV w:val="nil"/>
        </w:tcBorders>
      </w:tcPr>
    </w:tblStylePr>
    <w:tblStylePr w:type="lastCol">
      <w:tblPr/>
      <w:tcPr>
        <w:tcBorders>
          <w:top w:val="nil"/>
          <w:left w:val="single" w:sz="18" w:space="0" w:color="FFFFFF" w:themeColor="background1"/>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aff6">
    <w:name w:val="Colorful Shading"/>
    <w:basedOn w:val="a3"/>
    <w:uiPriority w:val="71"/>
    <w:rsid w:val="00CB0664"/>
    <w:pPr>
      <w:spacing w:after="0" w:line="240" w:lineRule="auto"/>
    </w:p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C0504D" w:themeColor="accent2"/>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8064A2" w:themeColor="accent4"/>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style>
  <w:style w:type="table" w:styleId="-43">
    <w:name w:val="Colorful Shading Accent 4"/>
    <w:basedOn w:val="a3"/>
    <w:uiPriority w:val="71"/>
    <w:rsid w:val="00CB0664"/>
    <w:pPr>
      <w:spacing w:after="0" w:line="240" w:lineRule="auto"/>
    </w:p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9BBB59" w:themeColor="accent3"/>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F79646" w:themeColor="accent6"/>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blStylePr w:type="firstRow">
      <w:rPr>
        <w:b/>
        <w:bCs/>
      </w:rPr>
      <w:tblPr/>
      <w:tcPr>
        <w:tcBorders>
          <w:top w:val="nil"/>
          <w:left w:val="nil"/>
          <w:bottom w:val="single" w:sz="24" w:space="0" w:color="4BACC6" w:themeColor="accent5"/>
          <w:right w:val="nil"/>
          <w:insideH w:val="nil"/>
          <w:insideV w:val="nil"/>
        </w:tcBorders>
      </w:tcPr>
    </w:tblStylePr>
    <w:tblStylePr w:type="lastRow">
      <w:rPr>
        <w:b/>
        <w:bCs/>
        <w:color w:val="FFFFFF" w:themeColor="background1"/>
      </w:rPr>
      <w:tblPr/>
      <w:tcPr>
        <w:tcBorders>
          <w:top w:val="single" w:sz="6" w:space="0" w:color="FFFFFF" w:themeColor="background1"/>
        </w:tcBorders>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tcPr>
    </w:tblStylePr>
    <w:tblStylePr w:type="lastCol">
      <w:rPr>
        <w:color w:val="FFFFFF" w:themeColor="background1"/>
      </w:rPr>
      <w:tblPr/>
      <w:tcPr>
        <w:tcBorders>
          <w:top w:val="nil"/>
          <w:left w:val="nil"/>
          <w:bottom w:val="nil"/>
          <w:right w:val="nil"/>
          <w:insideH w:val="nil"/>
          <w:insideV w:val="nil"/>
        </w:tcBorders>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14">
    <w:name w:val="Colorful List Accent 1"/>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24">
    <w:name w:val="Colorful List Accent 2"/>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9E3A38" w:themeColor="accent2"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34">
    <w:name w:val="Colorful List Accent 3"/>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664E82" w:themeColor="accent4"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44">
    <w:name w:val="Colorful List Accent 4"/>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7E9C40" w:themeColor="accent3"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54">
    <w:name w:val="Colorful List Accent 5"/>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F2730A" w:themeColor="accent6"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64">
    <w:name w:val="Colorful List Accent 6"/>
    <w:basedOn w:val="a3"/>
    <w:uiPriority w:val="72"/>
    <w:rsid w:val="00CB0664"/>
    <w:pPr>
      <w:spacing w:after="0" w:line="240" w:lineRule="auto"/>
    </w:pPr>
    <w:tblPr>
      <w:tblStyleRowBandSize w:val="1"/>
      <w:tblStyleColBandSize w:val="1"/>
    </w:tblPr>
    <w:tblStylePr w:type="firstRow">
      <w:rPr>
        <w:b/>
        <w:bCs/>
        <w:color w:val="FFFFFF" w:themeColor="background1"/>
      </w:rPr>
      <w:tblPr/>
      <w:tcPr>
        <w:tcBorders>
          <w:bottom w:val="single" w:sz="12" w:space="0" w:color="FFFFFF" w:themeColor="background1"/>
        </w:tcBorders>
      </w:tcPr>
    </w:tblStylePr>
    <w:tblStylePr w:type="lastRow">
      <w:rPr>
        <w:b/>
        <w:bCs/>
        <w:color w:val="348DA5" w:themeColor="accent5" w:themeShade="CC"/>
      </w:rPr>
      <w:tblPr/>
      <w:tcPr>
        <w:tcBorders>
          <w:top w:val="single" w:sz="12" w:space="0" w:color="000000" w:themeColor="text1"/>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aff8">
    <w:name w:val="Colorful Grid"/>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15">
    <w:name w:val="Colorful Grid Accent 1"/>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25">
    <w:name w:val="Colorful Grid Accent 2"/>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35">
    <w:name w:val="Colorful Grid Accent 3"/>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45">
    <w:name w:val="Colorful Grid Accent 4"/>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55">
    <w:name w:val="Colorful Grid Accent 5"/>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styleId="-65">
    <w:name w:val="Colorful Grid Accent 6"/>
    <w:basedOn w:val="a3"/>
    <w:uiPriority w:val="73"/>
    <w:rsid w:val="00CB0664"/>
    <w:pPr>
      <w:spacing w:after="0" w:line="240" w:lineRule="auto"/>
    </w:pPr>
    <w:tblPr>
      <w:tblStyleRowBandSize w:val="1"/>
      <w:tblStyleColBandSize w:val="1"/>
      <w:tblBorders>
        <w:insideH w:val="single" w:sz="4" w:space="0" w:color="FFFFFF" w:themeColor="background1"/>
      </w:tblBorders>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32" Type="http://schemas.openxmlformats.org/officeDocument/2006/relationships/theme" Target="theme/theme1.xml"/><Relationship Id="rId5" Type="http://schemas.openxmlformats.org/officeDocument/2006/relationships/webSettings" Target="webSettings.xml"/><Relationship Id="rId28"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27" Type="http://schemas.openxmlformats.org/officeDocument/2006/relationships/footer" Target="footer1.xml"/><Relationship Id="rId30" Type="http://schemas.openxmlformats.org/officeDocument/2006/relationships/footer" Target="footer3.xml"/><Relationship Id="rId2001" Type="http://schemas.openxmlformats.org/officeDocument/2006/relationships/hyperlink" Target="https://www.lswz.gov.cn/html/tzgg/2026-09/09/content_295095.shtml" TargetMode="External"/><Relationship Id="rId2002" Type="http://schemas.openxmlformats.org/officeDocument/2006/relationships/hyperlink" Target="https://fxsy.cbpt.cnki.net/portal/journal/portal/client/paper/c9c08ec3928ef9fb39b987441766cd34" TargetMode="External"/><Relationship Id="rId2003" Type="http://schemas.openxmlformats.org/officeDocument/2006/relationships/hyperlink" Target="https://www.lswz.gov.cn/html/tzgg/2026-09/09/content_295092.shtml" TargetMode="External"/><Relationship Id="rId2004" Type="http://schemas.openxmlformats.org/officeDocument/2006/relationships/hyperlink" Target="https://www.samr.gov.cn/xw/sj/art/2026/art_51512e300fcf4d119a467f223cb592f0.html" TargetMode="External"/><Relationship Id="rId2005" Type="http://schemas.openxmlformats.org/officeDocument/2006/relationships/hyperlink" Target="https://www.lswz.gov.cn/html/tzgg/2026-09/09/content_295109.shtml" TargetMode="External"/><Relationship Id="rId2006" Type="http://schemas.openxmlformats.org/officeDocument/2006/relationships/hyperlink" Target="https://academic.oup.com/jaoac/advance-article/doi/10.1093/jaoacint/qsag085/8789328" TargetMode="External"/><Relationship Id="rId2007" Type="http://schemas.openxmlformats.org/officeDocument/2006/relationships/hyperlink" Target="https://www.aoac.org/news/call-for-volunteers-trace-elemental-contaminants/" TargetMode="External"/><Relationship Id="rId2008" Type="http://schemas.openxmlformats.org/officeDocument/2006/relationships/hyperlink" Target="https://www.eurl-pesticides.eu/docs/public/tmplt_article.asp?CntID=1350&amp;LabID=400&amp;Lang=EN&amp;Pdf=False&amp;Theme_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黑体"/>
        <a:ea typeface="黑体"/>
        <a:cs typeface="黑体"/>
        <a:font script="Jpan" typeface="黑体"/>
        <a:font script="Hang" typeface="黑体"/>
        <a:font script="Hans" typeface="黑体"/>
        <a:font script="Hant" typeface="黑体"/>
        <a:font script="Arab" typeface="黑体"/>
        <a:font script="Hebr" typeface="黑体"/>
        <a:font script="Thai" typeface="黑体"/>
        <a:font script="Ethi" typeface="黑体"/>
        <a:font script="Beng" typeface="黑体"/>
        <a:font script="Gujr" typeface="黑体"/>
        <a:font script="Khmr" typeface="黑体"/>
        <a:font script="Knda" typeface="黑体"/>
        <a:font script="Guru" typeface="黑体"/>
        <a:font script="Cans" typeface="黑体"/>
        <a:font script="Cher" typeface="黑体"/>
        <a:font script="Yiii" typeface="黑体"/>
        <a:font script="Tibt" typeface="黑体"/>
        <a:font script="Thaa" typeface="黑体"/>
        <a:font script="Deva" typeface="黑体"/>
        <a:font script="Telu" typeface="黑体"/>
        <a:font script="Taml" typeface="黑体"/>
        <a:font script="Syrc" typeface="黑体"/>
        <a:font script="Orya" typeface="黑体"/>
        <a:font script="Mlym" typeface="黑体"/>
        <a:font script="Laoo" typeface="黑体"/>
        <a:font script="Sinh" typeface="黑体"/>
        <a:font script="Mong" typeface="黑体"/>
        <a:font script="Viet" typeface="黑体"/>
        <a:font script="Uigh" typeface="黑体"/>
        <a:font script="Geor" typeface="黑体"/>
      </a:majorFont>
      <a:minorFont>
        <a:latin typeface="宋体"/>
        <a:ea typeface="宋体"/>
        <a:cs typeface="宋体"/>
        <a:font script="Jpan" typeface="宋体"/>
        <a:font script="Hang" typeface="宋体"/>
        <a:font script="Hans" typeface="宋体"/>
        <a:font script="Hant" typeface="宋体"/>
        <a:font script="Arab" typeface="宋体"/>
        <a:font script="Hebr" typeface="宋体"/>
        <a:font script="Thai" typeface="宋体"/>
        <a:font script="Ethi" typeface="宋体"/>
        <a:font script="Beng" typeface="宋体"/>
        <a:font script="Gujr" typeface="宋体"/>
        <a:font script="Khmr" typeface="宋体"/>
        <a:font script="Knda" typeface="宋体"/>
        <a:font script="Guru" typeface="宋体"/>
        <a:font script="Cans" typeface="宋体"/>
        <a:font script="Cher" typeface="宋体"/>
        <a:font script="Yiii" typeface="宋体"/>
        <a:font script="Tibt" typeface="宋体"/>
        <a:font script="Thaa" typeface="宋体"/>
        <a:font script="Deva" typeface="宋体"/>
        <a:font script="Telu" typeface="宋体"/>
        <a:font script="Taml" typeface="宋体"/>
        <a:font script="Syrc" typeface="宋体"/>
        <a:font script="Orya" typeface="宋体"/>
        <a:font script="Mlym" typeface="宋体"/>
        <a:font script="Laoo" typeface="宋体"/>
        <a:font script="Sinh" typeface="宋体"/>
        <a:font script="Mong" typeface="宋体"/>
        <a:font script="Viet" typeface="宋体"/>
        <a:font script="Uigh" typeface="宋体"/>
        <a:font script="Geor" typeface="宋体"/>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683</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4569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分析测试标准资讯周报（内部测试版）</dc:title>
  <dc:subject>2026年9月4日16:30至9月11日16:30（北京时间）</dc:subject>
  <dc:creator/>
  <cp:keywords/>
  <dc:description/>
  <cp:lastModifiedBy/>
  <cp:revision>1</cp:revision>
  <dcterms:created xsi:type="dcterms:W3CDTF">2026-09-21T00:00:00Z</dcterms:created>
  <dcterms:modified xsi:type="dcterms:W3CDTF">2026-09-21T00:00:00Z</dcterms:modified>
  <cp:category/>
</cp:coreProperties>
</file>