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ECEE1" w14:textId="77777777" w:rsidR="00741353" w:rsidRDefault="00AF0D74">
      <w:pPr>
        <w:pStyle w:val="aa"/>
        <w:spacing w:after="140" w:line="640" w:lineRule="exact"/>
        <w:wordWrap w:val="0"/>
      </w:pPr>
      <w:r>
        <w:t>分析测试标准资讯周报（内部测试版）</w:t>
      </w:r>
    </w:p>
    <w:p w14:paraId="1DF36016" w14:textId="77777777" w:rsidR="00741353" w:rsidRDefault="00AF0D74">
      <w:pPr>
        <w:pStyle w:val="ac"/>
        <w:spacing w:after="160" w:line="320" w:lineRule="exact"/>
        <w:wordWrap w:val="0"/>
      </w:pPr>
      <w:r>
        <w:t xml:space="preserve">2026年10月23日16:30至10月30日16:30（北京时间）</w:t>
      </w:r>
    </w:p>
    <w:p w14:paraId="1CB9F75F" w14:textId="77777777" w:rsidR="00741353" w:rsidRDefault="00AF0D74">
      <w:pPr>
        <w:pStyle w:val="1"/>
        <w:spacing w:before="200" w:line="440" w:lineRule="exact"/>
      </w:pPr>
      <w:r>
        <w:t>本期要点速览</w:t>
      </w:r>
    </w:p>
    <w:tbl>
      <w:tblPr>
        <w:tblW w:w="963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125" w:type="dxa"/>
          <w:left w:w="125" w:type="dxa"/>
          <w:bottom w:w="125" w:type="dxa"/>
          <w:right w:w="125" w:type="dxa"/>
        </w:tblCellMar>
        <w:tblLook w:val="04A0" w:firstRow="1" w:lastRow="0" w:firstColumn="1" w:lastColumn="0" w:noHBand="0" w:noVBand="1"/>
      </w:tblPr>
      <w:tblGrid>
        <w:gridCol w:w="2778"/>
        <w:gridCol w:w="6861"/>
      </w:tblGrid>
      <w:tr w:rsidR="00741353" w14:paraId="086449A1" w14:textId="77777777">
        <w:trPr>
          <w:cantSplit/>
          <w:tblHeader/>
        </w:trPr>
        <w:tc>
          <w:tcPr>
            <w:tcW w:w="2778" w:type="dxa"/>
            <w:shd w:val="clear" w:color="auto" w:fill="E8EEF3"/>
            <w:vAlign w:val="center"/>
          </w:tcPr>
          <w:p w14:paraId="2553C703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栏目</w:t>
            </w:r>
          </w:p>
        </w:tc>
        <w:tc>
          <w:tcPr>
            <w:tcW w:w="6860" w:type="dxa"/>
            <w:shd w:val="clear" w:color="auto" w:fill="E8EEF3"/>
            <w:vAlign w:val="center"/>
          </w:tcPr>
          <w:p w14:paraId="1A068D37" w14:textId="77777777" w:rsidR="00741353" w:rsidRDefault="00AF0D74">
            <w:pPr>
              <w:spacing w:after="60" w:line="360" w:lineRule="exact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本期要点</w:t>
            </w:r>
          </w:p>
        </w:tc>
      </w:tr>
      <w:tr w:rsidR="00741353" w14:paraId="0DAE04B9" w14:textId="77777777">
        <w:trPr>
          <w:cantSplit/>
        </w:trPr>
        <w:tc>
          <w:tcPr>
            <w:tcW w:w="2778" w:type="dxa"/>
            <w:vAlign w:val="center"/>
          </w:tcPr>
          <w:p w14:paraId="0A696661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一、国内方法标准与监管检测动态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D7E9BE7" w14:textId="77777777">
        <w:trPr>
          <w:cantSplit/>
        </w:trPr>
        <w:tc>
          <w:tcPr>
            <w:tcW w:w="2778" w:type="dxa"/>
            <w:vAlign w:val="center"/>
          </w:tcPr>
          <w:p w14:paraId="67F7E866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二、国际标准与官方方法进展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拟将SMPR 2025.003表2首档浓度范围更正为＜10 µg/kg，意见截止11月13日。</w:t>
            </w:r>
          </w:p>
        </w:tc>
      </w:tr>
      <w:tr w:rsidR="00741353" w14:paraId="716A2FD7" w14:textId="77777777">
        <w:trPr>
          <w:cantSplit/>
        </w:trPr>
        <w:tc>
          <w:tcPr>
            <w:tcW w:w="2778" w:type="dxa"/>
            <w:vAlign w:val="center"/>
          </w:tcPr>
          <w:p w14:paraId="3D2FCD93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三、验证研究与新分析技术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>•</w:t>
              <w:tab/>
            </w:r>
            <w:r>
              <w:rPr>
                <w:sz w:val="23"/>
                <w:szCs w:val="23"/>
              </w:rPr>
              <w:t xml:space="preserve">单实验室验证及180份天然污染样品比对提供筛查证据，不直接替代确证或合规判定。</w:t>
            </w:r>
          </w:p>
        </w:tc>
      </w:tr>
      <w:tr w:rsidR="00741353" w14:paraId="30568B6B" w14:textId="77777777">
        <w:trPr>
          <w:cantSplit/>
        </w:trPr>
        <w:tc>
          <w:tcPr>
            <w:tcW w:w="2778" w:type="dxa"/>
            <w:vAlign w:val="center"/>
          </w:tcPr>
          <w:p w14:paraId="11BA2FB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四、标准物质、量值溯源与能力验证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348AD92E" w14:textId="77777777">
        <w:trPr>
          <w:cantSplit/>
        </w:trPr>
        <w:tc>
          <w:tcPr>
            <w:tcW w:w="2778" w:type="dxa"/>
            <w:vAlign w:val="center"/>
          </w:tcPr>
          <w:p w14:paraId="032F4B9D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五、实验室认可、质量控制与实施提示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  <w:tr w:rsidR="00741353" w14:paraId="4E96E3BA" w14:textId="77777777">
        <w:trPr>
          <w:cantSplit/>
        </w:trPr>
        <w:tc>
          <w:tcPr>
            <w:tcW w:w="2778" w:type="dxa"/>
            <w:vAlign w:val="center"/>
          </w:tcPr>
          <w:p w14:paraId="4DBA7D85" w14:textId="77777777" w:rsidR="00741353" w:rsidRDefault="00AF0D74">
            <w:pPr>
              <w:spacing w:after="60" w:line="360" w:lineRule="exact"/>
              <w:wordWrap w:val="0"/>
            </w:pPr>
            <w:r>
              <w:rPr>
                <w:rFonts w:ascii="黑体" w:eastAsia="黑体" w:hAnsi="黑体" w:cs="黑体"/>
                <w:b/>
                <w:bCs/>
                <w:sz w:val="23"/>
                <w:szCs w:val="23"/>
              </w:rPr>
              <w:t>六、征求意见、协作研究与关键时间节点</w:t>
            </w:r>
          </w:p>
        </w:tc>
        <w:tc>
          <w:tcPr>
            <w:tcW w:w="6860" w:type="dxa"/>
            <w:vAlign w:val="center"/>
          </w:tcPr>
          <w:p w14:paraId="08895642" w14:textId="77777777" w:rsidR="00741353" w:rsidRDefault="00AF0D74">
            <w:pPr>
              <w:spacing w:after="60" w:line="360" w:lineRule="exact"/>
              <w:tabs>
                <w:tab w:val="left" w:pos="360"/>
              </w:tabs>
              <w:ind w:left="360" w:hanging="280"/>
              <w:wordWrap w:val="0"/>
            </w:pPr>
            <w:r>
              <w:rPr>
                <w:rFonts w:ascii="宋体" w:hAnsi="宋体" w:eastAsia="宋体" w:cs="宋体"/>
                <w:b w:val="0"/>
                <w:color w:val="000000"/>
                <w:sz w:val="23"/>
              </w:rPr>
              <w:t xml:space="preserve">本期暂无可刊发条目。</w:t>
            </w:r>
          </w:p>
        </w:tc>
      </w:tr>
    </w:tbl>
    <w:p w14:paraId="0DAB29BE" w14:textId="77777777" w:rsidR="00741353" w:rsidRDefault="00AF0D74">
      <w:pPr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本期精选2条国际方法与验证资讯：微量元素方法性能要求更正征求意见、贝类毒素快速筛查验证。实际编制日期为2026年11月1日，保留原周五16:30七天窗口。</w:t>
      </w:r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1"/>
      </w:pPr>
      <w:r>
        <w:t xml:space="preserve">二、国际标准与官方方法进展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AOAC就微量元素SMPR首档浓度范围更正征求意见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2026-10-28｜AOAC INTERNATIONAL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AOAC于10月28日发布更正征求意见通知，拟将SMPR 2025.003表2的首档浓度范围更正为＜10 µg/kg。该文件涉及食品、饮料及婴幼儿配方食品中选定微量元素的定量方法性能要求，包括定量限、回收率、重复性和再现性。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本次更正限于表2首档浓度范围，不改变预期用途、基质、分析技术或SMPR状态。意见截止日期为11月13日；通知规定，如未收到反对意见，更正将在意见期结束后生效。本刊不将拟更正写为已生效，也不将SMPR等同于具体方法获批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建议相关实验室对照现行版本复核低浓度验证方案和评价区间，并在意见期结束后检查正式更新。本期未引用表2其他性能数值，不以征求意见通知代替完整标准。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1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AOAC INTERNATIONAL</w:t>
        </w:r>
      </w:hyperlink>
    </w:p>
    <w:p w14:paraId="7A6D2953" w14:textId="77777777" w:rsidR="00741353" w:rsidRDefault="00AF0D74">
      <w:pPr>
        <w:pStyle w:val="1"/>
        <w:spacing w:before="200" w:line="440" w:lineRule="exact"/>
        <w:wordWrap w:val="0"/>
        <w:pageBreakBefore w:val="0"/>
      </w:pPr>
      <w:r>
        <w:t xml:space="preserve">三、验证研究与新分析技术</w:t>
      </w:r>
    </w:p>
    <w:p w14:paraId="48D7440C" w14:textId="77777777" w:rsidR="00741353" w:rsidRDefault="00AF0D74">
      <w:pPr>
        <w:pStyle w:val="21"/>
        <w:spacing w:before="140" w:line="380" w:lineRule="exact"/>
        <w:wordWrap w:val="0"/>
      </w:pPr>
      <w:r>
        <w:t xml:space="preserve">贝类冈田酸类毒素侧向层析研究：筛查阈值与监管限值分开理解</w:t>
      </w:r>
    </w:p>
    <w:p w14:paraId="055A539C" w14:textId="77777777" w:rsidR="00741353" w:rsidRDefault="00AF0D74">
      <w:pPr>
        <w:keepNext/>
        <w:spacing w:line="290" w:lineRule="exact"/>
        <w:wordWrap w:val="0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2026-10-27｜Journal of AOAC INTERNATIONAL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Journal of AOAC INTERNATIONAL于10月27日在线公开一项侧向层析检测研究，评价一款商业侧向层析试剂用于双壳贝类冈田酸类毒素的定性筛查。研究按AOAC及ISSC相关指导开展单实验室验证，并与液相色谱串联质谱法比较。本文依据公开摘要解读，尚未完整复核研究全文及补充资料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摘要报告，在135 µg OA eq/kg判定阈值下，验证样品灵敏度为1.000、特异度为0.959；180份天然污染样品的相应结果为1.000和0.944。研究所述监管限值为160 µg OA eq/kg，不能把135的筛查阈值写为法定限值，也不能将观察到无假阴性推广为任何批次均不会漏检。</w:t>
      </w:r>
    </w:p>
    <w:p w14:paraId="75463394" w14:textId="77777777" w:rsidR="00741353" w:rsidRDefault="00AF0D74">
      <w:pPr>
        <w:keepNext/>
        <w:spacing w:line="360" w:lineRule="exact"/>
        <w:ind w:firstLine="480"/>
        <w:wordWrap w:val="0"/>
        <w:keepLines w:val="1"/>
      </w:pPr>
      <w:r>
        <w:t xml:space="preserve">建议用于贝类快速筛查的实验室进一步核对毒素谱、基质、前处理及结果解释规则，再开展适用性验证。该论文属于方法验证研究，不能据此宣称该产品取得AOAC正式方法地位，亦不直接替代目标市场要求的确证与合规判定。</w:t>
      </w:r>
    </w:p>
    <w:p w14:paraId="21359F8A" w14:textId="7BCCA01E" w:rsidR="00741353" w:rsidRDefault="00AF0D74">
      <w:pPr>
        <w:spacing w:after="160" w:line="280" w:lineRule="exact"/>
      </w:pPr>
      <w:r>
        <w:rPr>
          <w:rFonts w:ascii="宋体" w:eastAsia="宋体" w:hAnsi="宋体" w:cs="宋体"/>
          <w:color w:val="555555"/>
          <w:sz w:val="19"/>
          <w:szCs w:val="19"/>
        </w:rPr>
        <w:t xml:space="preserve">来源 </w:t>
      </w:r>
      <w:hyperlink r:id="rIdNewsletterSource2">
        <w:r>
          <w:rPr>
            <w:rFonts w:ascii="宋体" w:eastAsia="宋体" w:hAnsi="宋体" w:cs="宋体"/>
            <w:color w:val="245D83"/>
            <w:sz w:val="19"/>
            <w:szCs w:val="19"/>
            <w:u w:val="single"/>
          </w:rPr>
          <w:t>Journal of AOAC INTERNATIONAL</w:t>
        </w:r>
      </w:hyperlink>
    </w:p>
    <w:p w14:paraId="7234CB7C" w14:textId="77777777" w:rsidR="00741353" w:rsidRDefault="00AF0D74">
      <w:pPr>
        <w:pStyle w:val="21"/>
        <w:spacing w:before="140" w:line="380" w:lineRule="exact"/>
      </w:pPr>
      <w:r>
        <w:t>使用说明</w:t>
      </w:r>
    </w:p>
    <w:p w14:paraId="6E6F4F60" w14:textId="77777777" w:rsidR="00741353" w:rsidRDefault="00AF0D74">
      <w:pPr>
        <w:spacing w:line="290" w:lineRule="exact"/>
        <w:wordWrap w:val="0"/>
      </w:pPr>
      <w:r>
        <w:rPr>
          <w:sz w:val="21"/>
          <w:szCs w:val="21"/>
        </w:rPr>
        <w:t xml:space="preserve">保留六栏监测框架，无合格新增不以旧闻补位。32个计划来源逐源保留处置记录，部分来源局部核验、访问失败或冷却，不作穷尽覆盖声明。两个卫健委栏目复用并独立复核同窗口官方浏览器原始证据，均已核至下界。研究条目依据公开摘要，全文及补充资料未完整复核；方法落地前仍需适用性验证。</w:t>
      </w:r>
    </w:p>
    <w:sectPr w:rsidR="00741353" w:rsidSect="00034616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020" w:right="1134" w:bottom="964" w:left="1134" w:header="425" w:footer="4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45706" w14:textId="77777777" w:rsidR="00AF0D74" w:rsidRDefault="00AF0D74">
      <w:pPr>
        <w:spacing w:after="0" w:line="240" w:lineRule="auto"/>
      </w:pPr>
      <w:r>
        <w:separator/>
      </w:r>
    </w:p>
  </w:endnote>
  <w:endnote w:type="continuationSeparator" w:id="0">
    <w:p w14:paraId="0BB8E7FE" w14:textId="77777777" w:rsidR="00AF0D74" w:rsidRDefault="00AF0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>
  <w:font w:name="宋体">
    <w:charset w:val="86"/>
  </w:font>
  <w:font w:name="黑体">
    <w:charset w:val="86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A4F8" w14:textId="77777777" w:rsidR="006F4FFB" w:rsidRDefault="006F4F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9F7E9" w14:textId="77777777" w:rsidR="00071710" w:rsidRDefault="008A38A6">
    <w:pPr>
      <w:spacing w:line="240" w:lineRule="exact"/>
      <w:jc w:val="right"/>
    </w:pPr>
    <w:r>
      <w:rPr>
        <w:rFonts w:ascii="宋体" w:eastAsia="宋体" w:hAnsi="宋体" w:cs="宋体"/>
        <w:color w:val="555555"/>
        <w:sz w:val="17"/>
        <w:szCs w:val="17"/>
      </w:rPr>
      <w:t xml:space="preserve">分析测试标准资讯周报（内部测试版）  第 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begin"/>
    </w:r>
    <w:r w:rsidR="00071710">
      <w:rPr>
        <w:rFonts w:ascii="宋体" w:eastAsia="宋体" w:hAnsi="宋体" w:cs="宋体"/>
        <w:color w:val="555555"/>
        <w:sz w:val="17"/>
        <w:szCs w:val="17"/>
      </w:rPr>
      <w:instrText>PAGE</w:instrTex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separate"/>
    </w:r>
    <w:r w:rsidR="00144C9B">
      <w:rPr>
        <w:rFonts w:ascii="宋体" w:eastAsia="宋体" w:hAnsi="宋体" w:cs="宋体"/>
        <w:noProof/>
        <w:color w:val="555555"/>
        <w:sz w:val="17"/>
        <w:szCs w:val="17"/>
      </w:rPr>
      <w:t>1</w:t>
    </w:r>
    <w:r w:rsidR="00071710">
      <w:rPr>
        <w:rFonts w:ascii="宋体" w:eastAsia="宋体" w:hAnsi="宋体" w:cs="宋体"/>
        <w:color w:val="555555"/>
        <w:sz w:val="17"/>
        <w:szCs w:val="17"/>
      </w:rPr>
      <w:fldChar w:fldCharType="end"/>
    </w:r>
    <w:r>
      <w:rPr>
        <w:rFonts w:ascii="宋体" w:eastAsia="宋体" w:hAnsi="宋体" w:cs="宋体"/>
        <w:color w:val="555555"/>
        <w:sz w:val="17"/>
        <w:szCs w:val="17"/>
      </w:rPr>
      <w:t xml:space="preserve"> 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5EE6" w14:textId="77777777" w:rsidR="006F4FFB" w:rsidRDefault="006F4F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2EAF" w14:textId="77777777" w:rsidR="00AF0D74" w:rsidRDefault="00AF0D74">
      <w:pPr>
        <w:spacing w:after="0" w:line="240" w:lineRule="auto"/>
      </w:pPr>
      <w:r>
        <w:separator/>
      </w:r>
    </w:p>
  </w:footnote>
  <w:footnote w:type="continuationSeparator" w:id="0">
    <w:p w14:paraId="01EFFB83" w14:textId="77777777" w:rsidR="00AF0D74" w:rsidRDefault="00AF0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3C5E0" w14:textId="77777777" w:rsidR="006F4FFB" w:rsidRDefault="006F4FF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F97" w14:textId="77777777" w:rsidR="00071710" w:rsidRDefault="00071710">
    <w:pPr>
      <w:pStyle w:val="a5"/>
      <w:spacing w:line="240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D9213" w14:textId="77777777" w:rsidR="006F4FFB" w:rsidRDefault="006F4FF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宋体" w:eastAsia="宋体" w:hAnsi="宋体" w:cs="宋体" w:hint="eastAsi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宋体" w:eastAsia="宋体" w:hAnsi="宋体" w:cs="宋体" w:hint="eastAsi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宋体" w:eastAsia="宋体" w:hAnsi="宋体" w:cs="宋体" w:hint="eastAsi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宋体" w:eastAsia="宋体" w:hAnsi="宋体" w:cs="宋体" w:hint="eastAsia"/>
      </w:rPr>
    </w:lvl>
  </w:abstractNum>
  <w:num w:numId="1" w16cid:durableId="1450274729">
    <w:abstractNumId w:val="8"/>
  </w:num>
  <w:num w:numId="2" w16cid:durableId="33821294">
    <w:abstractNumId w:val="6"/>
  </w:num>
  <w:num w:numId="3" w16cid:durableId="657615895">
    <w:abstractNumId w:val="5"/>
  </w:num>
  <w:num w:numId="4" w16cid:durableId="100497808">
    <w:abstractNumId w:val="4"/>
  </w:num>
  <w:num w:numId="5" w16cid:durableId="540869003">
    <w:abstractNumId w:val="7"/>
  </w:num>
  <w:num w:numId="6" w16cid:durableId="9527193">
    <w:abstractNumId w:val="3"/>
  </w:num>
  <w:num w:numId="7" w16cid:durableId="1123765509">
    <w:abstractNumId w:val="2"/>
  </w:num>
  <w:num w:numId="8" w16cid:durableId="1083721945">
    <w:abstractNumId w:val="1"/>
  </w:num>
  <w:num w:numId="9" w16cid:durableId="141879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hideSpellingErrors w:val="true"/>
  <w:zoom w:percent="100"/>
  <w:bordersDoNotSurroundHeader/>
  <w:bordersDoNotSurroundFooter/>
  <w:hideGrammaticalErrors w:val="true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55C"/>
    <w:rsid w:val="00034616"/>
    <w:rsid w:val="0006063C"/>
    <w:rsid w:val="00071710"/>
    <w:rsid w:val="00144C9B"/>
    <w:rsid w:val="0015074B"/>
    <w:rsid w:val="00192115"/>
    <w:rsid w:val="0029639D"/>
    <w:rsid w:val="00326F90"/>
    <w:rsid w:val="005E45C4"/>
    <w:rsid w:val="006F4FFB"/>
    <w:rsid w:val="00741353"/>
    <w:rsid w:val="00870DE8"/>
    <w:rsid w:val="008A38A6"/>
    <w:rsid w:val="00962205"/>
    <w:rsid w:val="00AA1D8D"/>
    <w:rsid w:val="00AE4301"/>
    <w:rsid w:val="00AF0D74"/>
    <w:rsid w:val="00B47730"/>
    <w:rsid w:val="00C42746"/>
    <w:rsid w:val="00C6280B"/>
    <w:rsid w:val="00CB0664"/>
    <w:rsid w:val="00F2417D"/>
    <w:rsid w:val="00F775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DC731B"/>
  <w14:defaultImageDpi w14:val="330"/>
  <w15:docId w15:val="{E17F98DE-E812-4396-81C7-FF1712B34E39}"/>
  <w:embedSystemFonts w:val="false"/>
  <w:saveSubsetFonts w:val="false"/>
  <w:embedTrueTypeFont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宋体" w:eastAsia="宋体" w:hAnsi="宋体" w:cs="宋体" w:hint="eastAsia"/>
        <w:color w:val="000000"/>
        <w:sz w:val="24"/>
        <w:szCs w:val="24"/>
        <w:lang w:val="zh-CN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napToGrid w:val="0"/>
      <w:spacing w:after="80" w:line="308" w:lineRule="exact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20" w:line="420" w:lineRule="exact"/>
      <w:outlineLvl w:val="0"/>
    </w:pPr>
    <w:rPr>
      <w:rFonts w:ascii="黑体" w:eastAsia="黑体" w:hAnsi="黑体" w:cs="黑体"/>
      <w:b/>
      <w:bCs/>
      <w:sz w:val="30"/>
      <w:szCs w:val="30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line="336" w:lineRule="exact"/>
      <w:outlineLvl w:val="1"/>
    </w:pPr>
    <w:rPr>
      <w:rFonts w:ascii="黑体" w:eastAsia="黑体" w:hAnsi="黑体" w:cs="黑体"/>
      <w:b/>
      <w:bCs/>
      <w:sz w:val="25"/>
      <w:szCs w:val="25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黑体" w:eastAsia="黑体" w:hAnsi="黑体" w:cs="黑体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黑体" w:eastAsia="黑体" w:hAnsi="黑体" w:cs="黑体"/>
      <w:b/>
      <w:bCs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宋体" w:eastAsia="宋体" w:hAnsi="宋体" w:cs="宋体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宋体" w:eastAsia="宋体" w:hAnsi="宋体" w:cs="宋体"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宋体" w:eastAsia="宋体" w:hAnsi="宋体" w:cs="宋体"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宋体" w:eastAsia="宋体" w:hAnsi="宋体" w:cs="宋体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宋体" w:eastAsia="宋体" w:hAnsi="宋体" w:cs="宋体"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8"/>
      <w:szCs w:val="28"/>
      <w:lang w:val="zh-CN" w:eastAsia="zh-CN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黑体" w:eastAsia="黑体" w:hAnsi="黑体" w:cs="黑体" w:hint="eastAsia"/>
      <w:b/>
      <w:bCs/>
      <w:i w:val="0"/>
      <w:color w:val="000000"/>
      <w:sz w:val="26"/>
      <w:szCs w:val="26"/>
      <w:lang w:val="zh-CN" w:eastAsia="zh-CN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700" w:lineRule="exact"/>
      <w:contextualSpacing/>
    </w:pPr>
    <w:rPr>
      <w:rFonts w:ascii="黑体" w:eastAsia="黑体" w:hAnsi="黑体" w:cs="黑体"/>
      <w:b/>
      <w:bCs/>
      <w:sz w:val="46"/>
      <w:szCs w:val="46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宋体" w:eastAsia="宋体" w:hAnsi="宋体" w:cs="宋体" w:hint="eastAsia"/>
      <w:i w:val="0"/>
      <w:color w:val="000000"/>
      <w:sz w:val="52"/>
      <w:szCs w:val="52"/>
      <w:lang w:val="zh-CN" w:eastAsia="zh-CN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宋体" w:eastAsia="宋体" w:hAnsi="宋体" w:cs="宋体"/>
      <w:iCs/>
      <w:sz w:val="22"/>
      <w:szCs w:val="22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宋体" w:eastAsia="宋体" w:hAnsi="宋体" w:cs="宋体" w:hint="eastAsia"/>
      <w:i w:val="0"/>
      <w:iCs/>
      <w:color w:val="000000"/>
      <w:sz w:val="24"/>
      <w:szCs w:val="24"/>
      <w:lang w:val="zh-CN" w:eastAsia="zh-CN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宋体" w:eastAsia="宋体" w:hAnsi="宋体" w:cs="宋体" w:hint="eastAsia"/>
      <w:i w:val="0"/>
      <w:color w:val="000000"/>
      <w:lang w:val="zh-CN" w:eastAsia="zh-CN"/>
    </w:rPr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宋体" w:eastAsia="宋体" w:hAnsi="宋体" w:cs="宋体" w:hint="eastAsia"/>
      <w:i w:val="0"/>
      <w:color w:val="000000"/>
      <w:sz w:val="16"/>
      <w:szCs w:val="16"/>
      <w:lang w:val="zh-CN" w:eastAsia="zh-CN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宋体" w:eastAsia="宋体" w:hAnsi="宋体" w:cs="宋体" w:hint="eastAsia"/>
      <w:i w:val="0"/>
      <w:color w:val="000000"/>
      <w:lang w:val="zh-CN" w:eastAsia="zh-CN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宋体" w:eastAsia="宋体" w:hAnsi="宋体" w:cs="宋体" w:hint="eastAsia"/>
      <w:i w:val="0"/>
      <w:color w:val="000000"/>
      <w:sz w:val="20"/>
      <w:szCs w:val="20"/>
      <w:lang w:val="zh-CN" w:eastAsia="zh-CN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宋体" w:eastAsia="宋体" w:hAnsi="宋体" w:cs="宋体" w:hint="eastAsia"/>
      <w:i w:val="0"/>
      <w:iCs/>
      <w:color w:val="000000"/>
      <w:sz w:val="20"/>
      <w:szCs w:val="20"/>
      <w:lang w:val="zh-CN" w:eastAsia="zh-CN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黑体" w:eastAsia="黑体" w:hAnsi="黑体" w:cs="黑体" w:hint="eastAsia"/>
      <w:b/>
      <w:bCs/>
      <w:i w:val="0"/>
      <w:color w:val="000000"/>
      <w:lang w:val="zh-CN" w:eastAsia="zh-CN"/>
    </w:rPr>
  </w:style>
  <w:style w:type="character" w:styleId="af9">
    <w:name w:val="Emphasis"/>
    <w:basedOn w:val="a2"/>
    <w:uiPriority w:val="20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c">
    <w:name w:val="Subtle Emphasis"/>
    <w:basedOn w:val="a2"/>
    <w:uiPriority w:val="19"/>
    <w:qFormat/>
    <w:rsid w:val="00FC693F"/>
    <w:rPr>
      <w:rFonts w:ascii="宋体" w:eastAsia="宋体" w:hAnsi="宋体" w:cs="宋体" w:hint="eastAsia"/>
      <w:i w:val="0"/>
      <w:iCs/>
      <w:color w:val="000000"/>
      <w:lang w:val="zh-CN" w:eastAsia="zh-CN"/>
    </w:rPr>
  </w:style>
  <w:style w:type="character" w:styleId="afd">
    <w:name w:val="Intense Emphasis"/>
    <w:basedOn w:val="a2"/>
    <w:uiPriority w:val="21"/>
    <w:qFormat/>
    <w:rsid w:val="00FC693F"/>
    <w:rPr>
      <w:rFonts w:ascii="黑体" w:eastAsia="黑体" w:hAnsi="黑体" w:cs="黑体" w:hint="eastAsia"/>
      <w:b/>
      <w:bCs/>
      <w:i w:val="0"/>
      <w:iCs/>
      <w:color w:val="000000"/>
      <w:lang w:val="zh-CN" w:eastAsia="zh-CN"/>
    </w:rPr>
  </w:style>
  <w:style w:type="character" w:styleId="afe">
    <w:name w:val="Subtle Reference"/>
    <w:basedOn w:val="a2"/>
    <w:uiPriority w:val="31"/>
    <w:qFormat/>
    <w:rsid w:val="00FC693F"/>
    <w:rPr>
      <w:rFonts w:ascii="宋体" w:eastAsia="宋体" w:hAnsi="宋体" w:cs="宋体" w:hint="eastAsia"/>
      <w:i w:val="0"/>
      <w:smallCaps/>
      <w:color w:val="000000"/>
      <w:u w:val="single"/>
      <w:lang w:val="zh-CN" w:eastAsia="zh-CN"/>
    </w:rPr>
  </w:style>
  <w:style w:type="character" w:styleId="aff">
    <w:name w:val="Intense Reference"/>
    <w:basedOn w:val="a2"/>
    <w:uiPriority w:val="32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u w:val="single"/>
      <w:lang w:val="zh-CN" w:eastAsia="zh-CN"/>
    </w:rPr>
  </w:style>
  <w:style w:type="character" w:styleId="aff0">
    <w:name w:val="Book Title"/>
    <w:basedOn w:val="a2"/>
    <w:uiPriority w:val="33"/>
    <w:qFormat/>
    <w:rsid w:val="00FC693F"/>
    <w:rPr>
      <w:rFonts w:ascii="黑体" w:eastAsia="黑体" w:hAnsi="黑体" w:cs="黑体" w:hint="eastAsia"/>
      <w:b/>
      <w:bCs/>
      <w:i w:val="0"/>
      <w:smallCaps/>
      <w:color w:val="000000"/>
      <w:lang w:val="zh-CN" w:eastAsia="zh-CN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  <w:rPr>
      <w:rFonts w:ascii="宋体" w:eastAsia="宋体" w:hAnsi="宋体" w:cs="宋体"/>
    </w:r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黑体" w:eastAsia="黑体" w:hAnsi="黑体" w:cs="黑体" w:hint="eastAsi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黑体" w:eastAsia="黑体" w:hAnsi="黑体" w:cs="黑体" w:hint="eastAsia"/>
        <w:b/>
        <w:bCs/>
      </w:rPr>
    </w:tblStylePr>
    <w:tblStylePr w:type="lastCol">
      <w:rPr>
        <w:rFonts w:ascii="黑体" w:eastAsia="黑体" w:hAnsi="黑体" w:cs="黑体" w:hint="eastAsi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Horz">
      <w:tblPr/>
      <w:tcPr>
        <w:tcBorders>
          <w:insideH w:val="nil"/>
          <w:insideV w:val="nil"/>
        </w:tcBorders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宋体" w:eastAsia="宋体" w:hAnsi="宋体" w:cs="宋体" w:hint="eastAsi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rPr>
        <w:b/>
        <w:bCs/>
        <w:color w:val="000000" w:themeColor="text1"/>
      </w:r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  <w:color w:val="000000" w:themeColor="text1"/>
      </w:rPr>
    </w:tblStylePr>
    <w:tblStylePr w:type="firstCol">
      <w:rPr>
        <w:color w:val="FFFFFF" w:themeColor="background1"/>
      </w:rPr>
    </w:tblStylePr>
    <w:tblStylePr w:type="lastCol">
      <w:rPr>
        <w:color w:val="FFFFFF" w:themeColor="background1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26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28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27" Type="http://schemas.openxmlformats.org/officeDocument/2006/relationships/footer" Target="footer1.xml"/><Relationship Id="rId30" Type="http://schemas.openxmlformats.org/officeDocument/2006/relationships/footer" Target="footer3.xml"/><Relationship Id="rIdNewsletterSource1" Type="http://schemas.openxmlformats.org/officeDocument/2006/relationships/hyperlink" Target="https://www.aoac.org/news/call-for-comments-on-correction-to-smpr-2025-003/" TargetMode="External"/><Relationship Id="rIdNewsletterSource2" Type="http://schemas.openxmlformats.org/officeDocument/2006/relationships/hyperlink" Target="https://academic.oup.com/jaoac/advance-article/doi/10.1093/jaoacint/qsag097/90028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黑体"/>
        <a:ea typeface="黑体"/>
        <a:cs typeface="黑体"/>
        <a:font script="Jpan" typeface="黑体"/>
        <a:font script="Hang" typeface="黑体"/>
        <a:font script="Hans" typeface="黑体"/>
        <a:font script="Hant" typeface="黑体"/>
        <a:font script="Arab" typeface="黑体"/>
        <a:font script="Hebr" typeface="黑体"/>
        <a:font script="Thai" typeface="黑体"/>
        <a:font script="Ethi" typeface="黑体"/>
        <a:font script="Beng" typeface="黑体"/>
        <a:font script="Gujr" typeface="黑体"/>
        <a:font script="Khmr" typeface="黑体"/>
        <a:font script="Knda" typeface="黑体"/>
        <a:font script="Guru" typeface="黑体"/>
        <a:font script="Cans" typeface="黑体"/>
        <a:font script="Cher" typeface="黑体"/>
        <a:font script="Yiii" typeface="黑体"/>
        <a:font script="Tibt" typeface="黑体"/>
        <a:font script="Thaa" typeface="黑体"/>
        <a:font script="Deva" typeface="黑体"/>
        <a:font script="Telu" typeface="黑体"/>
        <a:font script="Taml" typeface="黑体"/>
        <a:font script="Syrc" typeface="黑体"/>
        <a:font script="Orya" typeface="黑体"/>
        <a:font script="Mlym" typeface="黑体"/>
        <a:font script="Laoo" typeface="黑体"/>
        <a:font script="Sinh" typeface="黑体"/>
        <a:font script="Mong" typeface="黑体"/>
        <a:font script="Viet" typeface="黑体"/>
        <a:font script="Uigh" typeface="黑体"/>
        <a:font script="Geor" typeface="黑体"/>
      </a:majorFont>
      <a:minorFont>
        <a:latin typeface="宋体"/>
        <a:ea typeface="宋体"/>
        <a:cs typeface="宋体"/>
        <a:font script="Jpan" typeface="宋体"/>
        <a:font script="Hang" typeface="宋体"/>
        <a:font script="Hans" typeface="宋体"/>
        <a:font script="Hant" typeface="宋体"/>
        <a:font script="Arab" typeface="宋体"/>
        <a:font script="Hebr" typeface="宋体"/>
        <a:font script="Thai" typeface="宋体"/>
        <a:font script="Ethi" typeface="宋体"/>
        <a:font script="Beng" typeface="宋体"/>
        <a:font script="Gujr" typeface="宋体"/>
        <a:font script="Khmr" typeface="宋体"/>
        <a:font script="Knda" typeface="宋体"/>
        <a:font script="Guru" typeface="宋体"/>
        <a:font script="Cans" typeface="宋体"/>
        <a:font script="Cher" typeface="宋体"/>
        <a:font script="Yiii" typeface="宋体"/>
        <a:font script="Tibt" typeface="宋体"/>
        <a:font script="Thaa" typeface="宋体"/>
        <a:font script="Deva" typeface="宋体"/>
        <a:font script="Telu" typeface="宋体"/>
        <a:font script="Taml" typeface="宋体"/>
        <a:font script="Syrc" typeface="宋体"/>
        <a:font script="Orya" typeface="宋体"/>
        <a:font script="Mlym" typeface="宋体"/>
        <a:font script="Laoo" typeface="宋体"/>
        <a:font script="Sinh" typeface="宋体"/>
        <a:font script="Mong" typeface="宋体"/>
        <a:font script="Viet" typeface="宋体"/>
        <a:font script="Uigh" typeface="宋体"/>
        <a:font script="Geor" typeface="宋体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分析测试标准资讯周报（内部测试版）</dc:title>
  <dc:subject>2026年10月23日16:30至10月30日16:30（北京时间）</dc:subject>
  <dc:creator/>
  <cp:keywords/>
  <dc:description/>
  <cp:lastModifiedBy/>
  <cp:revision>1</cp:revision>
  <dcterms:created xsi:type="dcterms:W3CDTF">2026-11-01T12:03:09Z</dcterms:created>
  <dcterms:modified xsi:type="dcterms:W3CDTF">2026-11-01T12:03:09Z</dcterms:modified>
  <cp:category/>
</cp:coreProperties>
</file>