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趋势热点资讯周报（内部测试版）</w:t>
      </w:r>
    </w:p>
    <w:p w14:paraId="1DF36016" w14:textId="77777777" w:rsidR="00741353" w:rsidRDefault="00AF0D74">
      <w:pPr>
        <w:pStyle w:val="ac"/>
        <w:spacing w:after="160" w:line="320" w:lineRule="exact"/>
        <w:wordWrap w:val="0"/>
      </w:pPr>
      <w:r>
        <w:t>2026年9月11日16:30至9月18日16:30（北京时间）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Newsletter Sans SC" w:eastAsia="Newsletter Sans SC" w:hAnsi="Newsletter Sans SC" w:cs="Newsletter Sans SC"/>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Newsletter Sans SC" w:eastAsia="Newsletter Sans SC" w:hAnsi="Newsletter Sans SC" w:cs="Newsletter Sans SC"/>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一、食品安全新风险与弱信号</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德国萨拉米通报检出戊肝病毒；单次检出不等于感染风险上升。</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二、新原料、生产方式与技术成熟度</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中国农科院介绍热处理花生蛋白改善花生酱分层的实验；尚非工业化验证。</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三、消费与供应链数据观察</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1—8月网上吃类零售额同比增15.9%，网上商品总体增4.3%；不直接代表线上渗透率。</w:t>
            </w:r>
          </w:p>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9月上旬豆粕、大豆、白糖价格上涨，玉米小幅下降；加工与养殖原料走势分化。</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Newsletter Sans SC" w:eastAsia="Newsletter Sans SC" w:hAnsi="Newsletter Sans SC" w:cs="Newsletter Sans SC"/>
                <w:b/>
                <w:bCs/>
                <w:sz w:val="23"/>
                <w:szCs w:val="23"/>
              </w:rPr>
              <w:t>四、分析检测与数字化技术方向</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响水采购拟接入约1800个点位，千阳推进设备与网络配套；均不等于AI效果已验证。</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五、绿色转型、包装与资源循环</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英国研究以2019年数据联合评价营养与环境表现，情景模型不等于实际改善。</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Newsletter Sans SC" w:eastAsia="Newsletter Sans SC" w:hAnsi="Newsletter Sans SC" w:cs="Newsletter Sans SC"/>
                <w:b/>
                <w:bCs/>
                <w:sz w:val="23"/>
                <w:szCs w:val="23"/>
              </w:rPr>
              <w:t>六、趋势证据跟踪与待验证议题</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原始媒体调查涉及检测报告、功效背书和扫码页面；尚未取得对应行政认定。</w:t>
            </w:r>
          </w:p>
        </w:tc>
      </w:tr>
    </w:tbl>
    <w:p w14:paraId="0DAB29BE" w14:textId="77777777" w:rsidR="00741353" w:rsidRDefault="00AF0D74">
      <w:pPr>
        <w:spacing w:line="290" w:lineRule="exact"/>
        <w:wordWrap w:val="0"/>
      </w:pPr>
      <w:r>
        <w:rPr>
          <w:rFonts w:ascii="Newsletter Sans SC" w:eastAsia="Newsletter Sans SC" w:hAnsi="Newsletter Sans SC" w:cs="Newsletter Sans SC"/>
          <w:color w:val="555555"/>
          <w:sz w:val="19"/>
          <w:szCs w:val="19"/>
        </w:rPr>
        <w:t>详细报道及来源见后文。本期为历史回溯试刊，编制于2026年9月21日。</w:t>
      </w:r>
    </w:p>
    <w:p w14:paraId="7A6D2953" w14:textId="77777777" w:rsidR="00741353" w:rsidRDefault="00AF0D74">
      <w:pPr>
        <w:pStyle w:val="1"/>
        <w:spacing w:before="200" w:line="440" w:lineRule="exact"/>
        <w:wordWrap w:val="0"/>
        <w:pageBreakBefore w:val="1"/>
      </w:pPr>
      <w:r>
        <w:t>一、食品安全新风险与弱信号</w:t>
      </w:r>
    </w:p>
    <w:p w14:paraId="48D7440C" w14:textId="77777777" w:rsidR="00741353" w:rsidRDefault="00AF0D74">
      <w:pPr>
        <w:pStyle w:val="21"/>
        <w:spacing w:before="140" w:line="380" w:lineRule="exact"/>
        <w:wordWrap w:val="0"/>
      </w:pPr>
      <w:r>
        <w:t>德国萨拉米戊肝病毒检出通报提示肉制品风险证据缺口</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欧盟｜9月14日通报验证，8月31日抽样｜T1：单一风险信号</w:t>
      </w:r>
    </w:p>
    <w:p w14:paraId="75463394" w14:textId="77777777" w:rsidR="00741353" w:rsidRDefault="00AF0D74">
      <w:pPr>
        <w:keepNext/>
        <w:spacing w:line="360" w:lineRule="exact"/>
        <w:ind w:firstLine="480"/>
        <w:wordWrap w:val="0"/>
        <w:keepLines w:val="1"/>
      </w:pPr>
      <w:r>
        <w:t>欧盟RASFF通报2026.8116涉及德国来源萨拉米，分析结果记录为戊肝病毒（HEV）检出；产品状态标为推测已不在市场，芬兰采取的措施记录为无剩余库存。本条是单一通报，不是已确认的疾病暴发；本期依据9月20日采集快照回溯，非截止时点留档。</w:t>
      </w:r>
    </w:p>
    <w:p w14:paraId="75463394" w14:textId="77777777" w:rsidR="00741353" w:rsidRDefault="00AF0D74">
      <w:pPr>
        <w:keepNext/>
        <w:spacing w:line="360" w:lineRule="exact"/>
        <w:ind w:firstLine="480"/>
        <w:wordWrap w:val="0"/>
        <w:keepLines w:val="1"/>
      </w:pPr>
      <w:r>
        <w:t>对肉制品检测与过程控制团队，值得跟踪的是检出结果如何衔接病毒感染性与工艺验证。公开记录未提供检测方法、病毒载量、感染性或病例关联，不能推导发酵工艺失效、风险发生率上升或产品在华涉险；后续需补原始检测与相关批次证据。</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1">
        <w:r>
          <w:rPr>
            <w:rFonts w:ascii="Newsletter Sans SC" w:eastAsia="Newsletter Sans SC" w:hAnsi="Newsletter Sans SC" w:cs="Newsletter Sans SC"/>
            <w:color w:val="245D83"/>
            <w:sz w:val="19"/>
            <w:szCs w:val="19"/>
            <w:u w:val="single"/>
          </w:rPr>
          <w:t>RASFF通报2026.8116</w:t>
        </w:r>
      </w:hyperlink>
    </w:p>
    <w:p w14:paraId="7A6D2953" w14:textId="77777777" w:rsidR="00741353" w:rsidRDefault="00AF0D74">
      <w:pPr>
        <w:pStyle w:val="1"/>
        <w:spacing w:before="200" w:line="440" w:lineRule="exact"/>
        <w:wordWrap w:val="0"/>
        <w:pageBreakBefore w:val="0"/>
      </w:pPr>
      <w:r>
        <w:t>二、新原料、生产方式与技术成熟度</w:t>
      </w:r>
    </w:p>
    <w:p w14:paraId="48D7440C" w14:textId="77777777" w:rsidR="00741353" w:rsidRDefault="00AF0D74">
      <w:pPr>
        <w:pStyle w:val="21"/>
        <w:spacing w:before="140" w:line="380" w:lineRule="exact"/>
        <w:wordWrap w:val="0"/>
      </w:pPr>
      <w:r>
        <w:t>热处理花生蛋白用于花生酱稳定性研究，产业成熟度仍待验证</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中国内地｜9月16日机构介绍，未确认论文首发日｜T1：实验研究介绍</w:t>
      </w:r>
    </w:p>
    <w:p w14:paraId="75463394" w14:textId="77777777" w:rsidR="00741353" w:rsidRDefault="00AF0D74">
      <w:pPr>
        <w:keepNext/>
        <w:spacing w:line="360" w:lineRule="exact"/>
        <w:ind w:firstLine="480"/>
        <w:wordWrap w:val="0"/>
        <w:keepLines w:val="1"/>
      </w:pPr>
      <w:r>
        <w:t>中国农业科学院农产品加工研究所介绍一项利用热处理花生分离蛋白改善花生酱结构与储藏稳定性的研究。机构披露，添加2%经100℃处理的蛋白后，实验体系的油脂分离和流变表现得到改善，为利用原料自身蛋白调控多相食品稳定性提供研究线索。</w:t>
      </w:r>
    </w:p>
    <w:p w14:paraId="75463394" w14:textId="77777777" w:rsidR="00741353" w:rsidRDefault="00AF0D74">
      <w:pPr>
        <w:keepNext/>
        <w:spacing w:line="360" w:lineRule="exact"/>
        <w:ind w:firstLine="480"/>
        <w:wordWrap w:val="0"/>
        <w:keepLines w:val="1"/>
      </w:pPr>
      <w:r>
        <w:t>本期核验的是机构介绍，未取得论文全文及首次上线日期，不将其写成本周首次发现。物理分层改善不等于微生物货架期延长、致敏性降低或可直接替代现有配方；下一步应关注工业批次复现、感官接受度、安全性与成本数据，再评估技术成熟度。</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2">
        <w:r>
          <w:rPr>
            <w:rFonts w:ascii="Newsletter Sans SC" w:eastAsia="Newsletter Sans SC" w:hAnsi="Newsletter Sans SC" w:cs="Newsletter Sans SC"/>
            <w:color w:val="245D83"/>
            <w:sz w:val="19"/>
            <w:szCs w:val="19"/>
            <w:u w:val="single"/>
          </w:rPr>
          <w:t>中国农科院加工所研究介绍</w:t>
        </w:r>
      </w:hyperlink>
    </w:p>
    <w:p w14:paraId="7A6D2953" w14:textId="77777777" w:rsidR="00741353" w:rsidRDefault="00AF0D74">
      <w:pPr>
        <w:pStyle w:val="1"/>
        <w:spacing w:before="200" w:line="440" w:lineRule="exact"/>
        <w:wordWrap w:val="0"/>
        <w:pageBreakBefore w:val="0"/>
      </w:pPr>
      <w:r>
        <w:t>三、消费与供应链数据观察</w:t>
      </w:r>
    </w:p>
    <w:p w14:paraId="48D7440C" w14:textId="77777777" w:rsidR="00741353" w:rsidRDefault="00AF0D74">
      <w:pPr>
        <w:pStyle w:val="21"/>
        <w:spacing w:before="140" w:line="380" w:lineRule="exact"/>
        <w:wordWrap w:val="0"/>
      </w:pPr>
      <w:r>
        <w:t>网上吃类增长较快，渠道判断仍需同口径连续数据</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中国内地｜9月15日发布，统计期1—8月｜T1：累计统计观察</w:t>
      </w:r>
    </w:p>
    <w:p w14:paraId="75463394" w14:textId="77777777" w:rsidR="00741353" w:rsidRDefault="00AF0D74">
      <w:pPr>
        <w:keepNext/>
        <w:spacing w:line="360" w:lineRule="exact"/>
        <w:ind w:firstLine="480"/>
        <w:wordWrap w:val="0"/>
        <w:keepLines w:val="1"/>
      </w:pPr>
      <w:r>
        <w:t>国家统计局公布，1—8月全国网上商品零售额同比增长4.3%，其中吃类增长15.9%。两项均是累计名义金额增速，吃类是网上商品的子集，不能当成两个独立证据，也不能与单月餐饮或限额以上饮料类数据直接比较。</w:t>
      </w:r>
    </w:p>
    <w:p w14:paraId="75463394" w14:textId="77777777" w:rsidR="00741353" w:rsidRDefault="00AF0D74">
      <w:pPr>
        <w:keepNext/>
        <w:spacing w:line="360" w:lineRule="exact"/>
        <w:ind w:firstLine="480"/>
        <w:wordWrap w:val="0"/>
        <w:keepLines w:val="1"/>
      </w:pPr>
      <w:r>
        <w:t>该结果为食品线上渠道提供观察线索，但没有给出可计算食品线上渗透率的配套分母，不能据此断言消费从线下持续转移。本年“网上商品零售额”与原“实物商品网上零售额”内涵、范围不变；新增服务口径的总指标则不可直接与旧总指标比较。后续需追踪同口径序列及履约数据。</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3">
        <w:r>
          <w:rPr>
            <w:rFonts w:ascii="Newsletter Sans SC" w:eastAsia="Newsletter Sans SC" w:hAnsi="Newsletter Sans SC" w:cs="Newsletter Sans SC"/>
            <w:color w:val="245D83"/>
            <w:sz w:val="19"/>
            <w:szCs w:val="19"/>
            <w:u w:val="single"/>
          </w:rPr>
          <w:t>国家统计局社会消费品零售数据</w:t>
        </w:r>
      </w:hyperlink>
    </w:p>
    <w:p w14:paraId="48D7440C" w14:textId="77777777" w:rsidR="00741353" w:rsidRDefault="00AF0D74">
      <w:pPr>
        <w:pStyle w:val="21"/>
        <w:spacing w:before="140" w:line="380" w:lineRule="exact"/>
        <w:wordWrap w:val="0"/>
      </w:pPr>
      <w:r>
        <w:t>加工与养殖原料价格短期分化，不宜统称食品成本上涨</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中国内地｜9月14日发布，9月上旬较8月下旬｜T1：旬度统计观察</w:t>
      </w:r>
    </w:p>
    <w:p w14:paraId="75463394" w14:textId="77777777" w:rsidR="00741353" w:rsidRDefault="00AF0D74">
      <w:pPr>
        <w:keepNext/>
        <w:spacing w:line="360" w:lineRule="exact"/>
        <w:ind w:firstLine="480"/>
        <w:wordWrap w:val="0"/>
        <w:keepLines w:val="1"/>
      </w:pPr>
      <w:r>
        <w:t>国家统计局发布的生产资料监测显示，9月上旬较8月下旬，黄玉米二等价格下降0.1%；豆粕（粗蛋白含量≥43%）上涨3.7%，大豆（黄豆）上涨1.6%，国标一级白砂糖上涨0.7%。不同原料走势不一，应分开观察加工与养殖供应链的暴露。</w:t>
      </w:r>
    </w:p>
    <w:p w14:paraId="75463394" w14:textId="77777777" w:rsidR="00741353" w:rsidRDefault="00AF0D74">
      <w:pPr>
        <w:keepNext/>
        <w:spacing w:line="360" w:lineRule="exact"/>
        <w:ind w:firstLine="480"/>
        <w:wordWrap w:val="0"/>
        <w:keepLines w:val="1"/>
      </w:pPr>
      <w:r>
        <w:t>上述为指定规格的流通领域价格，不是企业实际合同价或终端食品价格；养殖用豆粕也不能替代食品级分离蛋白的价格指标。单旬变化不足以确认持续涨价，后续需结合相同规格多期价格、锁价合同及库存，判断是否向具体产品成本传导。</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4">
        <w:r>
          <w:rPr>
            <w:rFonts w:ascii="Newsletter Sans SC" w:eastAsia="Newsletter Sans SC" w:hAnsi="Newsletter Sans SC" w:cs="Newsletter Sans SC"/>
            <w:color w:val="245D83"/>
            <w:sz w:val="19"/>
            <w:szCs w:val="19"/>
            <w:u w:val="single"/>
          </w:rPr>
          <w:t>国家统计局9月上旬生产资料价格</w:t>
        </w:r>
      </w:hyperlink>
    </w:p>
    <w:p w14:paraId="7A6D2953" w14:textId="77777777" w:rsidR="00741353" w:rsidRDefault="00AF0D74">
      <w:pPr>
        <w:pStyle w:val="1"/>
        <w:spacing w:before="200" w:line="440" w:lineRule="exact"/>
        <w:wordWrap w:val="0"/>
        <w:pageBreakBefore w:val="0"/>
      </w:pPr>
      <w:r>
        <w:t>四、分析检测与数字化技术方向</w:t>
      </w:r>
    </w:p>
    <w:p w14:paraId="48D7440C" w14:textId="77777777" w:rsidR="00741353" w:rsidRDefault="00AF0D74">
      <w:pPr>
        <w:pStyle w:val="21"/>
        <w:spacing w:before="140" w:line="380" w:lineRule="exact"/>
        <w:wordWrap w:val="0"/>
      </w:pPr>
      <w:r>
        <w:t>两地推进食品AI监管，采购部署与治理成效须分开评价</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中国内地｜两地均9月16日公开｜T2：多地部署信号，非效果验证</w:t>
      </w:r>
    </w:p>
    <w:p w14:paraId="75463394" w14:textId="77777777" w:rsidR="00741353" w:rsidRDefault="00AF0D74">
      <w:pPr>
        <w:keepNext/>
        <w:spacing w:line="360" w:lineRule="exact"/>
        <w:ind w:firstLine="480"/>
        <w:wordWrap w:val="0"/>
        <w:keepLines w:val="1"/>
      </w:pPr>
      <w:r>
        <w:t>江苏响水县食品安全“互联网+AI监管”服务项目公布成交结果，拟以视频租赁方式接入约1800个点位，覆盖餐饮和食品销售等场景，涉及数据回传、平台对接与运维。陕西千阳县同日披露食品销售AI监管推进工作，强调网络传输、数据存储和设备安装调试。</w:t>
      </w:r>
    </w:p>
    <w:p w14:paraId="75463394" w14:textId="77777777" w:rsidR="00741353" w:rsidRDefault="00AF0D74">
      <w:pPr>
        <w:keepNext/>
        <w:spacing w:line="360" w:lineRule="exact"/>
        <w:ind w:firstLine="480"/>
        <w:wordWrap w:val="0"/>
        <w:keepLines w:val="1"/>
      </w:pPr>
      <w:r>
        <w:t>两地独立信息支持“监管数字化正在推进部署”的有限判断，不代表约1800个点位已经上线，也未证明算法识别准确率或食品安全改善幅度。技术团队可跟踪告警规则、误报漏报、人工复核和处置闭环；只有取得实际运行及对照评价，才讨论治理效果。</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5">
        <w:r>
          <w:rPr>
            <w:rFonts w:ascii="Newsletter Sans SC" w:eastAsia="Newsletter Sans SC" w:hAnsi="Newsletter Sans SC" w:cs="Newsletter Sans SC"/>
            <w:color w:val="245D83"/>
            <w:sz w:val="19"/>
            <w:szCs w:val="19"/>
            <w:u w:val="single"/>
          </w:rPr>
          <w:t>响水县项目成交公告</w:t>
        </w:r>
      </w:hyperlink>
      <w:r>
        <w:rPr>
          <w:rFonts w:ascii="Newsletter Sans SC" w:eastAsia="Newsletter Sans SC" w:hAnsi="Newsletter Sans SC" w:cs="Newsletter Sans SC"/>
          <w:color w:val="555555"/>
          <w:sz w:val="19"/>
          <w:szCs w:val="19"/>
        </w:rPr>
        <w:t xml:space="preserve">  /  </w:t>
      </w:r>
      <w:hyperlink r:id="rId1006">
        <w:r>
          <w:rPr>
            <w:rFonts w:ascii="Newsletter Sans SC" w:eastAsia="Newsletter Sans SC" w:hAnsi="Newsletter Sans SC" w:cs="Newsletter Sans SC"/>
            <w:color w:val="245D83"/>
            <w:sz w:val="19"/>
            <w:szCs w:val="19"/>
            <w:u w:val="single"/>
          </w:rPr>
          <w:t>千阳县工作推进原文</w:t>
        </w:r>
      </w:hyperlink>
    </w:p>
    <w:p w14:paraId="7A6D2953" w14:textId="77777777" w:rsidR="00741353" w:rsidRDefault="00AF0D74">
      <w:pPr>
        <w:pStyle w:val="1"/>
        <w:spacing w:before="200" w:line="440" w:lineRule="exact"/>
        <w:wordWrap w:val="0"/>
        <w:pageBreakBefore w:val="0"/>
      </w:pPr>
      <w:r>
        <w:t>五、绿色转型、包装与资源循环</w:t>
      </w:r>
    </w:p>
    <w:p w14:paraId="48D7440C" w14:textId="77777777" w:rsidR="00741353" w:rsidRDefault="00AF0D74">
      <w:pPr>
        <w:pStyle w:val="21"/>
        <w:spacing w:before="140" w:line="380" w:lineRule="exact"/>
        <w:wordWrap w:val="0"/>
      </w:pPr>
      <w:r>
        <w:t>食品产品组合的营养与环境表现可联合评价，但模型不等于成效</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国际研究｜9月16日在线发表，使用2019年数据｜T1：模型研究</w:t>
      </w:r>
    </w:p>
    <w:p w14:paraId="75463394" w14:textId="77777777" w:rsidR="00741353" w:rsidRDefault="00AF0D74">
      <w:pPr>
        <w:keepNext/>
        <w:spacing w:line="360" w:lineRule="exact"/>
        <w:ind w:firstLine="480"/>
        <w:wordWrap w:val="0"/>
        <w:keepLines w:val="1"/>
      </w:pPr>
      <w:r>
        <w:t>Nature Food发表研究，将英国44家食品饮料制造商的产品组合、销售额数据及营养与环境指标关联，模拟改善同类产品中表现较差产品的潜在收益。研究提示，单看某一个营养或环境指标，可能遗漏产品组合内部差异及指标间的取舍。</w:t>
      </w:r>
    </w:p>
    <w:p w14:paraId="75463394" w14:textId="77777777" w:rsidR="00741353" w:rsidRDefault="00AF0D74">
      <w:pPr>
        <w:keepNext/>
        <w:spacing w:line="360" w:lineRule="exact"/>
        <w:ind w:firstLine="480"/>
        <w:wordWrap w:val="0"/>
        <w:keepLines w:val="1"/>
      </w:pPr>
      <w:r>
        <w:t>这不是企业已经实现的改配方或减排效果。模型缺少逐产品销量，环境估算未覆盖成品加工、运输和储存；结果也不能直接移植至中国。国内产品评价可借鉴联合评估思路，但需以本土配方、真实销售和供应链数据复算，并验证实际改变后的结果。</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7">
        <w:r>
          <w:rPr>
            <w:rFonts w:ascii="Newsletter Sans SC" w:eastAsia="Newsletter Sans SC" w:hAnsi="Newsletter Sans SC" w:cs="Newsletter Sans SC"/>
            <w:color w:val="245D83"/>
            <w:sz w:val="19"/>
            <w:szCs w:val="19"/>
            <w:u w:val="single"/>
          </w:rPr>
          <w:t>Nature Food原始研究</w:t>
        </w:r>
      </w:hyperlink>
    </w:p>
    <w:p w14:paraId="7A6D2953" w14:textId="77777777" w:rsidR="00741353" w:rsidRDefault="00AF0D74">
      <w:pPr>
        <w:pStyle w:val="1"/>
        <w:spacing w:before="200" w:line="440" w:lineRule="exact"/>
        <w:wordWrap w:val="0"/>
        <w:pageBreakBefore w:val="0"/>
      </w:pPr>
      <w:r>
        <w:t>六、趋势证据跟踪与待验证议题</w:t>
      </w:r>
    </w:p>
    <w:p w14:paraId="48D7440C" w14:textId="77777777" w:rsidR="00741353" w:rsidRDefault="00AF0D74">
      <w:pPr>
        <w:pStyle w:val="21"/>
        <w:spacing w:before="140" w:line="380" w:lineRule="exact"/>
        <w:wordWrap w:val="0"/>
      </w:pPr>
      <w:r>
        <w:t>检测报告与食品功效背书的混用，列入宣传证据链跟踪</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中国内地｜9月16日原始调查刊发｜T1：媒体调查，行政结论待核</w:t>
      </w:r>
    </w:p>
    <w:p w14:paraId="75463394" w14:textId="77777777" w:rsidR="00741353" w:rsidRDefault="00AF0D74">
      <w:pPr>
        <w:keepNext/>
        <w:spacing w:line="360" w:lineRule="exact"/>
        <w:ind w:firstLine="480"/>
        <w:wordWrap w:val="0"/>
        <w:keepLines w:val="1"/>
      </w:pPr>
      <w:r>
        <w:t>新京报原始调查报道，部分食品营销将实验报告、功效评价证书和扫码页面串联用于背书。调查亦呈现另一检测机构对报告使用边界持谨慎态度；这些内容属于记者调查材料，不能据此概括整个检测行业，也不等于本刊独立验证了涉事产品或机构。</w:t>
      </w:r>
    </w:p>
    <w:p w14:paraId="75463394" w14:textId="77777777" w:rsidR="00741353" w:rsidRDefault="00AF0D74">
      <w:pPr>
        <w:keepNext/>
        <w:spacing w:line="360" w:lineRule="exact"/>
        <w:ind w:firstLine="480"/>
        <w:wordWrap w:val="0"/>
        <w:keepLines w:val="1"/>
      </w:pPr>
      <w:r>
        <w:t>本期将其列为待验证议题，不作违法或处罚认定。对TIC及品牌审核团队，建议区分“测了什么”“实验结果适用到哪里”和“宣传作了什么承诺”，核查报告、详情页及二维码落地页是否一致。后续重点跟踪监管原文、机构正式回应及证据更正；本期不据此推导统一法律结论。</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8">
        <w:r>
          <w:rPr>
            <w:rFonts w:ascii="Newsletter Sans SC" w:eastAsia="Newsletter Sans SC" w:hAnsi="Newsletter Sans SC" w:cs="Newsletter Sans SC"/>
            <w:color w:val="245D83"/>
            <w:sz w:val="19"/>
            <w:szCs w:val="19"/>
            <w:u w:val="single"/>
          </w:rPr>
          <w:t>新京报原始调查</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刊供内部信息交流，不构成合规批准、投资或采购建议。T1表示单项原始信息或调查线索；T2仅表示特定命题获得独立多源支持，不等于技术成熟或效果确证。本期以公开节点编排，历史数据、研究模型、部署计划与风险事实分别标注；未发现足以作跨场景成熟趋势判断的证据。</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xmlns:r="http://schemas.openxmlformats.org/officeDocument/2006/relationships">
  <w:font w:name="Newsletter Sans SC">
    <w:panose1 w:val="020B0200000000000000"/>
    <w:charset w:val="86"/>
    <w:family w:val="swiss"/>
    <w:pitch w:val="variable"/>
    <w:sig w:usb0="20000083" w:usb1="2ADF3C10" w:usb2="00000016" w:usb3="00000000" w:csb0="60060107" w:csb1="00000000"/>
    <w:embedRegular r:id="portableFont1" w:fontKey="{542EEA47-5B7F-51A8-A563-D0DEF11344E1}" w:subsetted="0"/>
    <w:embedBold r:id="portableFont2" w:fontKey="{46C4B705-6D2F-5360-B8DE-697B9FF60E0D}" w:subsetted="0"/>
  </w:font>
  <w:font w:name="Newsletter Serif SC">
    <w:panose1 w:val="02020200000000000000"/>
    <w:charset w:val="86"/>
    <w:family w:val="roman"/>
    <w:pitch w:val="variable"/>
    <w:sig w:usb0="20000083" w:usb1="2ADF3C10" w:usb2="00000016" w:usb3="00000000" w:csb0="60060107" w:csb1="00000000"/>
    <w:embedRegular r:id="portableFont3" w:fontKey="{8A9BFDA3-FF35-55CA-A432-E119161C16E9}" w:subsette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Newsletter Sans SC" w:eastAsia="Newsletter Sans SC" w:hAnsi="Newsletter Sans SC" w:cs="Newsletter Sans SC"/>
        <w:color w:val="555555"/>
        <w:sz w:val="17"/>
        <w:szCs w:val="17"/>
      </w:rPr>
      <w:t xml:space="preserve">趋势热点资讯周报（内部测试版）  第 </w:t>
    </w:r>
    <w:r w:rsidR="00071710">
      <w:rPr>
        <w:rFonts w:ascii="Newsletter Sans SC" w:eastAsia="Newsletter Sans SC" w:hAnsi="Newsletter Sans SC" w:cs="Newsletter Sans SC"/>
        <w:color w:val="555555"/>
        <w:sz w:val="17"/>
        <w:szCs w:val="17"/>
      </w:rPr>
      <w:fldChar w:fldCharType="begin"/>
    </w:r>
    <w:r w:rsidR="00071710">
      <w:rPr>
        <w:rFonts w:ascii="Newsletter Sans SC" w:eastAsia="Newsletter Sans SC" w:hAnsi="Newsletter Sans SC" w:cs="Newsletter Sans SC"/>
        <w:color w:val="555555"/>
        <w:sz w:val="17"/>
        <w:szCs w:val="17"/>
      </w:rPr>
      <w:instrText>PAGE</w:instrText>
    </w:r>
    <w:r w:rsidR="00071710">
      <w:rPr>
        <w:rFonts w:ascii="Newsletter Sans SC" w:eastAsia="Newsletter Sans SC" w:hAnsi="Newsletter Sans SC" w:cs="Newsletter Sans SC"/>
        <w:color w:val="555555"/>
        <w:sz w:val="17"/>
        <w:szCs w:val="17"/>
      </w:rPr>
      <w:fldChar w:fldCharType="separate"/>
    </w:r>
    <w:r w:rsidR="00144C9B">
      <w:rPr>
        <w:rFonts w:ascii="Newsletter Sans SC" w:eastAsia="Newsletter Sans SC" w:hAnsi="Newsletter Sans SC" w:cs="Newsletter Sans SC"/>
        <w:noProof/>
        <w:color w:val="555555"/>
        <w:sz w:val="17"/>
        <w:szCs w:val="17"/>
      </w:rPr>
      <w:t>1</w:t>
    </w:r>
    <w:r w:rsidR="00071710">
      <w:rPr>
        <w:rFonts w:ascii="Newsletter Sans SC" w:eastAsia="Newsletter Sans SC" w:hAnsi="Newsletter Sans SC" w:cs="Newsletter Sans SC"/>
        <w:color w:val="555555"/>
        <w:sz w:val="17"/>
        <w:szCs w:val="17"/>
      </w:rPr>
      <w:fldChar w:fldCharType="end"/>
    </w:r>
    <w:r>
      <w:rPr>
        <w:rFonts w:ascii="Newsletter Sans SC" w:eastAsia="Newsletter Sans SC" w:hAnsi="Newsletter Sans SC" w:cs="Newsletter Sans SC"/>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Newsletter Serif SC" w:eastAsia="Newsletter Serif SC" w:hAnsi="Newsletter Serif SC" w:cs="Newsletter Serif SC"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Newsletter Serif SC" w:eastAsia="Newsletter Serif SC" w:hAnsi="Newsletter Serif SC" w:cs="Newsletter Serif SC"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Newsletter Serif SC" w:eastAsia="Newsletter Serif SC" w:hAnsi="Newsletter Serif SC" w:cs="Newsletter Serif SC"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Newsletter Serif SC" w:eastAsia="Newsletter Serif SC" w:hAnsi="Newsletter Serif SC" w:cs="Newsletter Serif SC"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val="1"/>
  <w:embedSystemFonts w:val="1"/>
  <w:saveSubsetFonts w:val="0"/>
  <w:hideSpellingErrors w:val="1"/>
  <w:zoom w:percent="100"/>
  <w:bordersDoNotSurroundHeader/>
  <w:bordersDoNotSurroundFooter/>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sletter Serif SC" w:eastAsia="Newsletter Serif SC" w:hAnsi="Newsletter Serif SC" w:cs="Newsletter Serif SC"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Newsletter Sans SC" w:eastAsia="Newsletter Sans SC" w:hAnsi="Newsletter Sans SC" w:cs="Newsletter Sans SC"/>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Newsletter Sans SC" w:eastAsia="Newsletter Sans SC" w:hAnsi="Newsletter Sans SC" w:cs="Newsletter Sans SC"/>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Newsletter Sans SC" w:eastAsia="Newsletter Sans SC" w:hAnsi="Newsletter Sans SC" w:cs="Newsletter Sans SC"/>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Newsletter Sans SC" w:eastAsia="Newsletter Sans SC" w:hAnsi="Newsletter Sans SC" w:cs="Newsletter Sans SC"/>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Newsletter Sans SC" w:eastAsia="Newsletter Sans SC" w:hAnsi="Newsletter Sans SC" w:cs="Newsletter Sans SC"/>
    </w:rPr>
  </w:style>
  <w:style w:type="paragraph" w:styleId="6">
    <w:name w:val="heading 6"/>
    <w:basedOn w:val="a1"/>
    <w:next w:val="a1"/>
    <w:link w:val="60"/>
    <w:uiPriority w:val="9"/>
    <w:semiHidden/>
    <w:unhideWhenUsed/>
    <w:qFormat/>
    <w:rsid w:val="00FC693F"/>
    <w:pPr>
      <w:keepNext/>
      <w:keepLines/>
      <w:spacing w:before="200" w:after="0"/>
      <w:outlineLvl w:val="5"/>
    </w:pPr>
    <w:rPr>
      <w:rFonts w:ascii="Newsletter Sans SC" w:eastAsia="Newsletter Sans SC" w:hAnsi="Newsletter Sans SC" w:cs="Newsletter Sans SC"/>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Newsletter Sans SC" w:eastAsia="Newsletter Sans SC" w:hAnsi="Newsletter Sans SC" w:cs="Newsletter Sans SC"/>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Newsletter Sans SC" w:eastAsia="Newsletter Sans SC" w:hAnsi="Newsletter Sans SC" w:cs="Newsletter Sans SC"/>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Newsletter Sans SC" w:eastAsia="Newsletter Sans SC" w:hAnsi="Newsletter Sans SC" w:cs="Newsletter Sans SC"/>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Newsletter Serif SC" w:eastAsia="Newsletter Serif SC" w:hAnsi="Newsletter Serif SC" w:cs="Newsletter Serif SC"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Newsletter Serif SC" w:eastAsia="Newsletter Serif SC" w:hAnsi="Newsletter Serif SC" w:cs="Newsletter Serif SC"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Newsletter Serif SC" w:eastAsia="Newsletter Serif SC" w:hAnsi="Newsletter Serif SC" w:cs="Newsletter Serif SC" w:hint="eastAsia"/>
      <w:b/>
      <w:bCs/>
      <w:i w:val="0"/>
      <w:color w:val="000000"/>
      <w:sz w:val="28"/>
      <w:szCs w:val="28"/>
      <w:lang w:val="zh-CN" w:eastAsia="zh-CN"/>
    </w:rPr>
  </w:style>
  <w:style w:type="character" w:customStyle="1" w:styleId="22">
    <w:name w:val="标题 2 字符"/>
    <w:basedOn w:val="a2"/>
    <w:link w:val="21"/>
    <w:uiPriority w:val="9"/>
    <w:rsid w:val="00FC693F"/>
    <w:rPr>
      <w:rFonts w:ascii="Newsletter Serif SC" w:eastAsia="Newsletter Serif SC" w:hAnsi="Newsletter Serif SC" w:cs="Newsletter Serif SC" w:hint="eastAsia"/>
      <w:b/>
      <w:bCs/>
      <w:i w:val="0"/>
      <w:color w:val="000000"/>
      <w:sz w:val="26"/>
      <w:szCs w:val="26"/>
      <w:lang w:val="zh-CN" w:eastAsia="zh-CN"/>
    </w:rPr>
  </w:style>
  <w:style w:type="character" w:customStyle="1" w:styleId="32">
    <w:name w:val="标题 3 字符"/>
    <w:basedOn w:val="a2"/>
    <w:link w:val="31"/>
    <w:uiPriority w:val="9"/>
    <w:rsid w:val="00FC693F"/>
    <w:rPr>
      <w:rFonts w:ascii="Newsletter Serif SC" w:eastAsia="Newsletter Serif SC" w:hAnsi="Newsletter Serif SC" w:cs="Newsletter Serif SC"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Newsletter Sans SC" w:eastAsia="Newsletter Sans SC" w:hAnsi="Newsletter Sans SC" w:cs="Newsletter Sans SC"/>
      <w:b/>
      <w:bCs/>
      <w:sz w:val="46"/>
      <w:szCs w:val="46"/>
    </w:rPr>
  </w:style>
  <w:style w:type="character" w:customStyle="1" w:styleId="ab">
    <w:name w:val="标题 字符"/>
    <w:basedOn w:val="a2"/>
    <w:link w:val="aa"/>
    <w:uiPriority w:val="10"/>
    <w:rsid w:val="00FC693F"/>
    <w:rPr>
      <w:rFonts w:ascii="Newsletter Serif SC" w:eastAsia="Newsletter Serif SC" w:hAnsi="Newsletter Serif SC" w:cs="Newsletter Serif SC"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Newsletter Sans SC" w:eastAsia="Newsletter Sans SC" w:hAnsi="Newsletter Sans SC" w:cs="Newsletter Sans SC"/>
      <w:iCs/>
      <w:sz w:val="22"/>
      <w:szCs w:val="22"/>
    </w:rPr>
  </w:style>
  <w:style w:type="character" w:customStyle="1" w:styleId="ad">
    <w:name w:val="副标题 字符"/>
    <w:basedOn w:val="a2"/>
    <w:link w:val="ac"/>
    <w:uiPriority w:val="11"/>
    <w:rsid w:val="00FC693F"/>
    <w:rPr>
      <w:rFonts w:ascii="Newsletter Serif SC" w:eastAsia="Newsletter Serif SC" w:hAnsi="Newsletter Serif SC" w:cs="Newsletter Serif SC"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Newsletter Serif SC" w:eastAsia="Newsletter Serif SC" w:hAnsi="Newsletter Serif SC" w:cs="Newsletter Serif SC"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Newsletter Serif SC" w:eastAsia="Newsletter Serif SC" w:hAnsi="Newsletter Serif SC" w:cs="Newsletter Serif SC"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Newsletter Serif SC" w:eastAsia="Newsletter Serif SC" w:hAnsi="Newsletter Serif SC" w:cs="Newsletter Serif SC"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Newsletter Serif SC" w:eastAsia="Newsletter Serif SC" w:hAnsi="Newsletter Serif SC" w:cs="Newsletter Serif SC"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Newsletter Serif SC" w:eastAsia="Newsletter Serif SC" w:hAnsi="Newsletter Serif SC" w:cs="Newsletter Serif SC" w:hint="eastAsia"/>
      <w:i w:val="0"/>
      <w:iCs/>
      <w:color w:val="000000"/>
      <w:lang w:val="zh-CN" w:eastAsia="zh-CN"/>
    </w:rPr>
  </w:style>
  <w:style w:type="character" w:customStyle="1" w:styleId="40">
    <w:name w:val="标题 4 字符"/>
    <w:basedOn w:val="a2"/>
    <w:link w:val="4"/>
    <w:uiPriority w:val="9"/>
    <w:semiHidden/>
    <w:rsid w:val="00FC693F"/>
    <w:rPr>
      <w:rFonts w:ascii="Newsletter Serif SC" w:eastAsia="Newsletter Serif SC" w:hAnsi="Newsletter Serif SC" w:cs="Newsletter Serif SC" w:hint="eastAsia"/>
      <w:b/>
      <w:bCs/>
      <w:i w:val="0"/>
      <w:iCs/>
      <w:color w:val="000000"/>
      <w:lang w:val="zh-CN" w:eastAsia="zh-CN"/>
    </w:rPr>
  </w:style>
  <w:style w:type="character" w:customStyle="1" w:styleId="50">
    <w:name w:val="标题 5 字符"/>
    <w:basedOn w:val="a2"/>
    <w:link w:val="5"/>
    <w:uiPriority w:val="9"/>
    <w:semiHidden/>
    <w:rsid w:val="00FC693F"/>
    <w:rPr>
      <w:rFonts w:ascii="Newsletter Serif SC" w:eastAsia="Newsletter Serif SC" w:hAnsi="Newsletter Serif SC" w:cs="Newsletter Serif SC" w:hint="eastAsia"/>
      <w:i w:val="0"/>
      <w:color w:val="000000"/>
      <w:lang w:val="zh-CN" w:eastAsia="zh-CN"/>
    </w:rPr>
  </w:style>
  <w:style w:type="character" w:customStyle="1" w:styleId="60">
    <w:name w:val="标题 6 字符"/>
    <w:basedOn w:val="a2"/>
    <w:link w:val="6"/>
    <w:uiPriority w:val="9"/>
    <w:semiHidden/>
    <w:rsid w:val="00FC693F"/>
    <w:rPr>
      <w:rFonts w:ascii="Newsletter Serif SC" w:eastAsia="Newsletter Serif SC" w:hAnsi="Newsletter Serif SC" w:cs="Newsletter Serif SC" w:hint="eastAsia"/>
      <w:i w:val="0"/>
      <w:iCs/>
      <w:color w:val="000000"/>
      <w:lang w:val="zh-CN" w:eastAsia="zh-CN"/>
    </w:rPr>
  </w:style>
  <w:style w:type="character" w:customStyle="1" w:styleId="70">
    <w:name w:val="标题 7 字符"/>
    <w:basedOn w:val="a2"/>
    <w:link w:val="7"/>
    <w:uiPriority w:val="9"/>
    <w:semiHidden/>
    <w:rsid w:val="00FC693F"/>
    <w:rPr>
      <w:rFonts w:ascii="Newsletter Serif SC" w:eastAsia="Newsletter Serif SC" w:hAnsi="Newsletter Serif SC" w:cs="Newsletter Serif SC" w:hint="eastAsia"/>
      <w:i w:val="0"/>
      <w:iCs/>
      <w:color w:val="000000"/>
      <w:lang w:val="zh-CN" w:eastAsia="zh-CN"/>
    </w:rPr>
  </w:style>
  <w:style w:type="character" w:customStyle="1" w:styleId="80">
    <w:name w:val="标题 8 字符"/>
    <w:basedOn w:val="a2"/>
    <w:link w:val="8"/>
    <w:uiPriority w:val="9"/>
    <w:semiHidden/>
    <w:rsid w:val="00FC693F"/>
    <w:rPr>
      <w:rFonts w:ascii="Newsletter Serif SC" w:eastAsia="Newsletter Serif SC" w:hAnsi="Newsletter Serif SC" w:cs="Newsletter Serif SC" w:hint="eastAsia"/>
      <w:i w:val="0"/>
      <w:color w:val="000000"/>
      <w:sz w:val="20"/>
      <w:szCs w:val="20"/>
      <w:lang w:val="zh-CN" w:eastAsia="zh-CN"/>
    </w:rPr>
  </w:style>
  <w:style w:type="character" w:customStyle="1" w:styleId="90">
    <w:name w:val="标题 9 字符"/>
    <w:basedOn w:val="a2"/>
    <w:link w:val="9"/>
    <w:uiPriority w:val="9"/>
    <w:semiHidden/>
    <w:rsid w:val="00FC693F"/>
    <w:rPr>
      <w:rFonts w:ascii="Newsletter Serif SC" w:eastAsia="Newsletter Serif SC" w:hAnsi="Newsletter Serif SC" w:cs="Newsletter Serif SC"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Newsletter Serif SC" w:eastAsia="Newsletter Serif SC" w:hAnsi="Newsletter Serif SC" w:cs="Newsletter Serif SC" w:hint="eastAsia"/>
      <w:b/>
      <w:bCs/>
      <w:i w:val="0"/>
      <w:color w:val="000000"/>
      <w:lang w:val="zh-CN" w:eastAsia="zh-CN"/>
    </w:rPr>
  </w:style>
  <w:style w:type="character" w:styleId="af9">
    <w:name w:val="Emphasis"/>
    <w:basedOn w:val="a2"/>
    <w:uiPriority w:val="20"/>
    <w:qFormat/>
    <w:rsid w:val="00FC693F"/>
    <w:rPr>
      <w:rFonts w:ascii="Newsletter Serif SC" w:eastAsia="Newsletter Serif SC" w:hAnsi="Newsletter Serif SC" w:cs="Newsletter Serif SC"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Newsletter Serif SC" w:eastAsia="Newsletter Serif SC" w:hAnsi="Newsletter Serif SC" w:cs="Newsletter Serif SC" w:hint="eastAsia"/>
      <w:b/>
      <w:bCs/>
      <w:i w:val="0"/>
      <w:iCs/>
      <w:color w:val="000000"/>
      <w:lang w:val="zh-CN" w:eastAsia="zh-CN"/>
    </w:rPr>
  </w:style>
  <w:style w:type="character" w:styleId="afc">
    <w:name w:val="Subtle Emphasis"/>
    <w:basedOn w:val="a2"/>
    <w:uiPriority w:val="19"/>
    <w:qFormat/>
    <w:rsid w:val="00FC693F"/>
    <w:rPr>
      <w:rFonts w:ascii="Newsletter Serif SC" w:eastAsia="Newsletter Serif SC" w:hAnsi="Newsletter Serif SC" w:cs="Newsletter Serif SC" w:hint="eastAsia"/>
      <w:i w:val="0"/>
      <w:iCs/>
      <w:color w:val="000000"/>
      <w:lang w:val="zh-CN" w:eastAsia="zh-CN"/>
    </w:rPr>
  </w:style>
  <w:style w:type="character" w:styleId="afd">
    <w:name w:val="Intense Emphasis"/>
    <w:basedOn w:val="a2"/>
    <w:uiPriority w:val="21"/>
    <w:qFormat/>
    <w:rsid w:val="00FC693F"/>
    <w:rPr>
      <w:rFonts w:ascii="Newsletter Serif SC" w:eastAsia="Newsletter Serif SC" w:hAnsi="Newsletter Serif SC" w:cs="Newsletter Serif SC" w:hint="eastAsia"/>
      <w:b/>
      <w:bCs/>
      <w:i w:val="0"/>
      <w:iCs/>
      <w:color w:val="000000"/>
      <w:lang w:val="zh-CN" w:eastAsia="zh-CN"/>
    </w:rPr>
  </w:style>
  <w:style w:type="character" w:styleId="afe">
    <w:name w:val="Subtle Reference"/>
    <w:basedOn w:val="a2"/>
    <w:uiPriority w:val="31"/>
    <w:qFormat/>
    <w:rsid w:val="00FC693F"/>
    <w:rPr>
      <w:rFonts w:ascii="Newsletter Serif SC" w:eastAsia="Newsletter Serif SC" w:hAnsi="Newsletter Serif SC" w:cs="Newsletter Serif SC" w:hint="eastAsia"/>
      <w:i w:val="0"/>
      <w:smallCaps/>
      <w:color w:val="000000"/>
      <w:u w:val="single"/>
      <w:lang w:val="zh-CN" w:eastAsia="zh-CN"/>
    </w:rPr>
  </w:style>
  <w:style w:type="character" w:styleId="aff">
    <w:name w:val="Intense Reference"/>
    <w:basedOn w:val="a2"/>
    <w:uiPriority w:val="32"/>
    <w:qFormat/>
    <w:rsid w:val="00FC693F"/>
    <w:rPr>
      <w:rFonts w:ascii="Newsletter Serif SC" w:eastAsia="Newsletter Serif SC" w:hAnsi="Newsletter Serif SC" w:cs="Newsletter Serif SC" w:hint="eastAsia"/>
      <w:b/>
      <w:bCs/>
      <w:i w:val="0"/>
      <w:smallCaps/>
      <w:color w:val="000000"/>
      <w:u w:val="single"/>
      <w:lang w:val="zh-CN" w:eastAsia="zh-CN"/>
    </w:rPr>
  </w:style>
  <w:style w:type="character" w:styleId="aff0">
    <w:name w:val="Book Title"/>
    <w:basedOn w:val="a2"/>
    <w:uiPriority w:val="33"/>
    <w:qFormat/>
    <w:rsid w:val="00FC693F"/>
    <w:rPr>
      <w:rFonts w:ascii="Newsletter Serif SC" w:eastAsia="Newsletter Serif SC" w:hAnsi="Newsletter Serif SC" w:cs="Newsletter Serif SC"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Newsletter Serif SC" w:eastAsia="Newsletter Serif SC" w:hAnsi="Newsletter Serif SC" w:cs="Newsletter Serif SC"/>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Newsletter Serif SC" w:eastAsia="Newsletter Serif SC" w:hAnsi="Newsletter Serif SC" w:cs="Newsletter Serif SC"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Newsletter Serif SC" w:eastAsia="Newsletter Serif SC" w:hAnsi="Newsletter Serif SC" w:cs="Newsletter Serif SC"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Newsletter Serif SC" w:eastAsia="Newsletter Serif SC" w:hAnsi="Newsletter Serif SC" w:cs="Newsletter Serif SC"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Newsletter Serif SC" w:eastAsia="Newsletter Serif SC" w:hAnsi="Newsletter Serif SC" w:cs="Newsletter Serif SC"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Newsletter Serif SC" w:eastAsia="Newsletter Serif SC" w:hAnsi="Newsletter Serif SC" w:cs="Newsletter Serif SC"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Newsletter Serif SC" w:eastAsia="Newsletter Serif SC" w:hAnsi="Newsletter Serif SC" w:cs="Newsletter Serif SC"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Newsletter Serif SC" w:eastAsia="Newsletter Serif SC" w:hAnsi="Newsletter Serif SC" w:cs="Newsletter Serif SC"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ebgate.ec.europa.eu/rasff-window/screen/notification/872800" TargetMode="External"/><Relationship Id="rId1002" Type="http://schemas.openxmlformats.org/officeDocument/2006/relationships/hyperlink" Target="https://ifst.caas.cn/xwzx/kyjz/2fa2d52222914d94a578b5f89d340ebb.htm" TargetMode="External"/><Relationship Id="rId1003" Type="http://schemas.openxmlformats.org/officeDocument/2006/relationships/hyperlink" Target="https://www.stats.gov.cn/sj/zxfb/202609/t20260915_1965311.html" TargetMode="External"/><Relationship Id="rId1004" Type="http://schemas.openxmlformats.org/officeDocument/2006/relationships/hyperlink" Target="https://www.stats.gov.cn/sj/zxfb/202609/t20260914_1965293.html" TargetMode="External"/><Relationship Id="rId1005" Type="http://schemas.openxmlformats.org/officeDocument/2006/relationships/hyperlink" Target="https://www.xiangshui.gov.cn/art/2026/9/16/art_34068_4454203.html" TargetMode="External"/><Relationship Id="rId1006" Type="http://schemas.openxmlformats.org/officeDocument/2006/relationships/hyperlink" Target="https://amr.baoji.gov.cn/col1082/col1084/202609/t20260916_1301928.html" TargetMode="External"/><Relationship Id="rId1007" Type="http://schemas.openxmlformats.org/officeDocument/2006/relationships/hyperlink" Target="https://www.nature.com/articles/s43016-026-01420-2" TargetMode="External"/><Relationship Id="rId1008" Type="http://schemas.openxmlformats.org/officeDocument/2006/relationships/hyperlink" Target="https://m.bjnews.com.cn/detail/1789522702169012.html" TargetMode="External"/></Relationships>
</file>

<file path=word/_rels/fontTable.xml.rels><?xml version='1.0' encoding='UTF-8' standalone='yes'?>
<Relationships xmlns="http://schemas.openxmlformats.org/package/2006/relationships"><Relationship Id="portableFont1" Type="http://schemas.openxmlformats.org/officeDocument/2006/relationships/font" Target="fonts/NewsletterSansSC-Regular.odttf"/><Relationship Id="portableFont2" Type="http://schemas.openxmlformats.org/officeDocument/2006/relationships/font" Target="fonts/NewsletterSansSC-Bold.odttf"/><Relationship Id="portableFont3" Type="http://schemas.openxmlformats.org/officeDocument/2006/relationships/font" Target="fonts/NewsletterSerifSC-Regular.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Newsletter Sans SC"/>
        <a:ea typeface="Newsletter Sans SC"/>
        <a:cs typeface="Newsletter Sans SC"/>
        <a:font script="Jpan" typeface="Newsletter Sans SC"/>
        <a:font script="Hang" typeface="Newsletter Sans SC"/>
        <a:font script="Hans" typeface="Newsletter Sans SC"/>
        <a:font script="Hant" typeface="Newsletter Sans SC"/>
        <a:font script="Arab" typeface="Newsletter Sans SC"/>
        <a:font script="Hebr" typeface="Newsletter Sans SC"/>
        <a:font script="Thai" typeface="Newsletter Sans SC"/>
        <a:font script="Ethi" typeface="Newsletter Sans SC"/>
        <a:font script="Beng" typeface="Newsletter Sans SC"/>
        <a:font script="Gujr" typeface="Newsletter Sans SC"/>
        <a:font script="Khmr" typeface="Newsletter Sans SC"/>
        <a:font script="Knda" typeface="Newsletter Sans SC"/>
        <a:font script="Guru" typeface="Newsletter Sans SC"/>
        <a:font script="Cans" typeface="Newsletter Sans SC"/>
        <a:font script="Cher" typeface="Newsletter Sans SC"/>
        <a:font script="Yiii" typeface="Newsletter Sans SC"/>
        <a:font script="Tibt" typeface="Newsletter Sans SC"/>
        <a:font script="Thaa" typeface="Newsletter Sans SC"/>
        <a:font script="Deva" typeface="Newsletter Sans SC"/>
        <a:font script="Telu" typeface="Newsletter Sans SC"/>
        <a:font script="Taml" typeface="Newsletter Sans SC"/>
        <a:font script="Syrc" typeface="Newsletter Sans SC"/>
        <a:font script="Orya" typeface="Newsletter Sans SC"/>
        <a:font script="Mlym" typeface="Newsletter Sans SC"/>
        <a:font script="Laoo" typeface="Newsletter Sans SC"/>
        <a:font script="Sinh" typeface="Newsletter Sans SC"/>
        <a:font script="Mong" typeface="Newsletter Sans SC"/>
        <a:font script="Viet" typeface="Newsletter Sans SC"/>
        <a:font script="Uigh" typeface="Newsletter Sans SC"/>
        <a:font script="Geor" typeface="Newsletter Sans SC"/>
      </a:majorFont>
      <a:minorFont>
        <a:latin typeface="Newsletter Serif SC"/>
        <a:ea typeface="Newsletter Serif SC"/>
        <a:cs typeface="Newsletter Serif SC"/>
        <a:font script="Jpan" typeface="Newsletter Serif SC"/>
        <a:font script="Hang" typeface="Newsletter Serif SC"/>
        <a:font script="Hans" typeface="Newsletter Serif SC"/>
        <a:font script="Hant" typeface="Newsletter Serif SC"/>
        <a:font script="Arab" typeface="Newsletter Serif SC"/>
        <a:font script="Hebr" typeface="Newsletter Serif SC"/>
        <a:font script="Thai" typeface="Newsletter Serif SC"/>
        <a:font script="Ethi" typeface="Newsletter Serif SC"/>
        <a:font script="Beng" typeface="Newsletter Serif SC"/>
        <a:font script="Gujr" typeface="Newsletter Serif SC"/>
        <a:font script="Khmr" typeface="Newsletter Serif SC"/>
        <a:font script="Knda" typeface="Newsletter Serif SC"/>
        <a:font script="Guru" typeface="Newsletter Serif SC"/>
        <a:font script="Cans" typeface="Newsletter Serif SC"/>
        <a:font script="Cher" typeface="Newsletter Serif SC"/>
        <a:font script="Yiii" typeface="Newsletter Serif SC"/>
        <a:font script="Tibt" typeface="Newsletter Serif SC"/>
        <a:font script="Thaa" typeface="Newsletter Serif SC"/>
        <a:font script="Deva" typeface="Newsletter Serif SC"/>
        <a:font script="Telu" typeface="Newsletter Serif SC"/>
        <a:font script="Taml" typeface="Newsletter Serif SC"/>
        <a:font script="Syrc" typeface="Newsletter Serif SC"/>
        <a:font script="Orya" typeface="Newsletter Serif SC"/>
        <a:font script="Mlym" typeface="Newsletter Serif SC"/>
        <a:font script="Laoo" typeface="Newsletter Serif SC"/>
        <a:font script="Sinh" typeface="Newsletter Serif SC"/>
        <a:font script="Mong" typeface="Newsletter Serif SC"/>
        <a:font script="Viet" typeface="Newsletter Serif SC"/>
        <a:font script="Uigh" typeface="Newsletter Serif SC"/>
        <a:font script="Geor" typeface="Newsletter Serif S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趋势热点资讯周报（内部测试版）</dc:title>
  <dc:subject>2026年9月11日16:30至9月18日16:30（北京时间）</dc:subject>
  <dc:creator>Neil Yu</dc:creator>
  <cp:keywords/>
  <dc:description/>
  <cp:lastModifiedBy>Neil Yu</cp:lastModifiedBy>
  <cp:revision>2</cp:revision>
  <dcterms:created xsi:type="dcterms:W3CDTF">2026-09-12T05:44:00Z</dcterms:created>
  <dcterms:modified xsi:type="dcterms:W3CDTF">2026-09-21T00:00:00Z</dcterms:modified>
  <cp:category/>
</cp:coreProperties>
</file>