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ECEE1" w14:textId="77777777" w:rsidR="00741353" w:rsidRDefault="00AF0D74">
      <w:pPr>
        <w:pStyle w:val="aa"/>
        <w:spacing w:after="140" w:line="640" w:lineRule="exact"/>
        <w:wordWrap w:val="0"/>
      </w:pPr>
      <w:r>
        <w:t>趋势热点资讯周报（内部测试版）</w:t>
      </w:r>
    </w:p>
    <w:p w14:paraId="1DF36016" w14:textId="77777777" w:rsidR="00741353" w:rsidRDefault="00AF0D74">
      <w:pPr>
        <w:pStyle w:val="ac"/>
        <w:spacing w:after="160" w:line="320" w:lineRule="exact"/>
        <w:wordWrap w:val="0"/>
      </w:pPr>
      <w:r>
        <w:t xml:space="preserve">2026年10月9日16:30至10月16日16:30（北京时间）</w:t>
      </w:r>
    </w:p>
    <w:p w14:paraId="1CB9F75F" w14:textId="77777777" w:rsidR="00741353" w:rsidRDefault="00AF0D74">
      <w:pPr>
        <w:pStyle w:val="1"/>
        <w:spacing w:before="200" w:line="440" w:lineRule="exact"/>
      </w:pPr>
      <w:r>
        <w:t>本期要点速览</w:t>
      </w:r>
    </w:p>
    <w:tbl>
      <w:tblPr>
        <w:tblW w:w="9639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125" w:type="dxa"/>
          <w:left w:w="125" w:type="dxa"/>
          <w:bottom w:w="125" w:type="dxa"/>
          <w:right w:w="125" w:type="dxa"/>
        </w:tblCellMar>
        <w:tblLook w:val="04A0" w:firstRow="1" w:lastRow="0" w:firstColumn="1" w:lastColumn="0" w:noHBand="0" w:noVBand="1"/>
      </w:tblPr>
      <w:tblGrid>
        <w:gridCol w:w="2778"/>
        <w:gridCol w:w="6861"/>
      </w:tblGrid>
      <w:tr w:rsidR="00741353" w14:paraId="086449A1" w14:textId="77777777">
        <w:trPr>
          <w:cantSplit/>
          <w:tblHeader/>
        </w:trPr>
        <w:tc>
          <w:tcPr>
            <w:tcW w:w="2778" w:type="dxa"/>
            <w:shd w:val="clear" w:color="auto" w:fill="E8EEF3"/>
            <w:vAlign w:val="center"/>
          </w:tcPr>
          <w:p w14:paraId="2553C703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栏目</w:t>
            </w:r>
          </w:p>
        </w:tc>
        <w:tc>
          <w:tcPr>
            <w:tcW w:w="6860" w:type="dxa"/>
            <w:shd w:val="clear" w:color="auto" w:fill="E8EEF3"/>
            <w:vAlign w:val="center"/>
          </w:tcPr>
          <w:p w14:paraId="1A068D37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本期要点</w:t>
            </w:r>
          </w:p>
        </w:tc>
      </w:tr>
      <w:tr w:rsidR="00741353" w14:paraId="0DAE04B9" w14:textId="77777777">
        <w:trPr>
          <w:cantSplit/>
        </w:trPr>
        <w:tc>
          <w:tcPr>
            <w:tcW w:w="2778" w:type="dxa"/>
            <w:vAlign w:val="center"/>
          </w:tcPr>
          <w:p w14:paraId="0A696661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一、食品安全新风险与弱信号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监管事实：单批腐乳风险提示，不能外推发酵食品总体污染率。</w:t>
            </w:r>
          </w:p>
        </w:tc>
      </w:tr>
      <w:tr w:rsidR="00741353" w14:paraId="3D7E9BE7" w14:textId="77777777">
        <w:trPr>
          <w:cantSplit/>
        </w:trPr>
        <w:tc>
          <w:tcPr>
            <w:tcW w:w="2778" w:type="dxa"/>
            <w:vAlign w:val="center"/>
          </w:tcPr>
          <w:p w14:paraId="67F7E866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二、新原料、生产方式与技术成熟度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  <w:tr w:rsidR="00741353" w14:paraId="716A2FD7" w14:textId="77777777">
        <w:trPr>
          <w:cantSplit/>
        </w:trPr>
        <w:tc>
          <w:tcPr>
            <w:tcW w:w="2778" w:type="dxa"/>
            <w:vAlign w:val="center"/>
          </w:tcPr>
          <w:p w14:paraId="3D2FCD93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三、消费与供应链数据观察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统计观察：食品价格同比下降1.7%，环比上涨0.4%。</w:t>
            </w:r>
          </w:p>
        </w:tc>
      </w:tr>
      <w:tr w:rsidR="00741353" w14:paraId="30568B6B" w14:textId="77777777">
        <w:trPr>
          <w:cantSplit/>
        </w:trPr>
        <w:tc>
          <w:tcPr>
            <w:tcW w:w="2778" w:type="dxa"/>
            <w:vAlign w:val="center"/>
          </w:tcPr>
          <w:p w14:paraId="11BA2FBD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四、分析检测与数字化技术方向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方法治理信号：本次修订仅涉及标识符，不改变方法性能要求。</w:t>
            </w:r>
          </w:p>
        </w:tc>
      </w:tr>
      <w:tr w:rsidR="00741353" w14:paraId="348AD92E" w14:textId="77777777">
        <w:trPr>
          <w:cantSplit/>
        </w:trPr>
        <w:tc>
          <w:tcPr>
            <w:tcW w:w="2778" w:type="dxa"/>
            <w:vAlign w:val="center"/>
          </w:tcPr>
          <w:p w14:paraId="032F4B9D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五、绿色转型、包装与资源循环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  <w:tr w:rsidR="00741353" w14:paraId="4E96E3BA" w14:textId="77777777">
        <w:trPr>
          <w:cantSplit/>
        </w:trPr>
        <w:tc>
          <w:tcPr>
            <w:tcW w:w="2778" w:type="dxa"/>
            <w:vAlign w:val="center"/>
          </w:tcPr>
          <w:p w14:paraId="4DBA7D85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六、趋势证据跟踪与待验证议题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待验证节点：会议安排不等于方法已经获批。</w:t>
            </w:r>
          </w:p>
        </w:tc>
      </w:tr>
    </w:tbl>
    <w:p w14:paraId="0DAB29BE" w14:textId="77777777" w:rsidR="00741353" w:rsidRDefault="00AF0D74">
      <w:pPr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本期于2026年10月19日编制，收录4条原窗口内公开并核验的信号。重点为发酵食品批次风险、食品价格品类分化及检测方法治理。各条区分官方事实、技术判断与后续验证条件，单项信号不直接判定为产业趋势。</w:t>
      </w:r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1"/>
      </w:pPr>
      <w:r>
        <w:t xml:space="preserve">一、食品安全新风险与弱信号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一批腐乳检出过量蜡样芽孢杆菌，发酵食品仍需过程控制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中国香港｜2026年10月12日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香港食物安全中心通过恒常食物监测，在零售点抽取的公和荳品厂玫瑰腐乳样本中检出蜡样芽孢杆菌14万CFU/g。产品净重340.5克，受影响批次销售时段为9月24日至10月9日。中心按香港《食品微生物含量指引》将即食食品超过10万CFU/g的结果判为不满意，并指示停售、下架及回收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技术判断：该通报支持具体样本及批次的处置，不代表已经识别污染工序或检出毒素。发酵食品企业可据此复核原辅料、生产卫生和贮存条件，并结合产品特性制定监测方案；香港指引的判定口径不能直接当作内地所有腐乳的法定限量。后续验证点是原因调查、纠正措施及批次复核结果，不能由单次警报推算行业发生率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1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香港食物安全中心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三、消费与供应链数据观察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9月食品价格同比下降、环比上涨，品类分化仍需单列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中国内地｜2026年10月14日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国家统计局10月14日发布9月CPI：全国居民消费价格同比上涨0.9%，其中食品价格同比下降1.7%、环比上涨0.4%。食品分类中，猪肉价格同比下降10.0%，蛋类上涨14.3%；奶类同比下降1.5%、环比下降0.3%。这些是9月居民消费端的价格变化，并非本周产地或采购报价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业务判断：总体食品价格与不同品类方向并不一致，采购及客户分析宜按品类、区域和交易环节继续核对，不能据此认定消费量、企业利润或检测需求同步下降。2026年CPI已轮换为2025年基期，跨期使用分类权数需核对统计说明。下一验证点为后续月度数据与企业实际采购、销量记录；本期只保留统计观察，不作价格预测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2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国家统计局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四、分析检测与数字化技术方向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AOAC拟更正铬CAS号，强调总元素与形态分析的边界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国际方法组织｜2026年10月15日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AOAC就SMPR 2020.001及2023.005发布编辑性更正通知。这两项文件分别面向大麻及其衍生产品、含大麻饮料的重金属测定；铬为可选分析物，原列CAS 18540-29-9对应六价铬，拟改为元素铬CAS 7440-47-3，使标识与预期总元素测量语境一致。通知明确不改变用途、基质、分析技术、性能要求或文件状态。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证据判断：截至本期截止，这是意见期内的更正通知；10月30日意见期结束后的生效条件仍待核验，不能提前写成修订已经生效。对实验室的可迁移启示是同步核对合同、LIMS分析物标识、报告名称与方法测量对象；本刊建议不构成扩大两项SMPR基质范围，也不将总铬结果解释为六价铬结果。中国食品适用要求仍须另按产品和现行法规判断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3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AOAC INTERNATIONAL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六、趋势证据跟踪与待验证议题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AOAC微生物方法审议将于10月20日举行，结果待跟踪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国际方法组织｜2026年10月14日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AOAC于10月14日公告，微生物专家审查组拟于10月20日12:00—15:00（美国东部时间）举行会议，审议并投票表决新方法、方法修改和最终行动方法。本期收录的是窗口内公开的会议安排，会议本身发生在本期截止之后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证据判断：当前公开通知未列出具体检测靶标、基质、性能数据或投票结果，尚不能据此宣称方法已获认可，也不能预判技术替代速度。实验室后续应以正式决定、方法编号和验证材料核对适用范围，再评估是否需要验证、培训或能力扩项；只有会议公告属于早期跟踪信号，本期不将其计作新增已批准方法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4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AOAC INTERNATIONAL</w:t>
        </w:r>
      </w:hyperlink>
    </w:p>
    <w:p w14:paraId="7234CB7C" w14:textId="77777777" w:rsidR="00741353" w:rsidRDefault="00AF0D74">
      <w:pPr>
        <w:pStyle w:val="21"/>
        <w:spacing w:before="140" w:line="380" w:lineRule="exact"/>
      </w:pPr>
      <w:r>
        <w:t>使用说明</w:t>
      </w:r>
    </w:p>
    <w:p w14:paraId="6E6F4F60" w14:textId="77777777" w:rsidR="00741353" w:rsidRDefault="00AF0D74">
      <w:pPr>
        <w:spacing w:line="290" w:lineRule="exact"/>
        <w:wordWrap w:val="0"/>
      </w:pPr>
      <w:r>
        <w:rPr>
          <w:sz w:val="21"/>
          <w:szCs w:val="21"/>
        </w:rPr>
        <w:t xml:space="preserve">本期依公开日期收录，统计期、销售时段、未来会议及意见截止日期分别说明。34个计划来源均保留处置证据，卫健委政策文件与工作动态已独立核验；部分普通来源访问受限、目录不完整或处于共享冷却，不能称全部完整扫描。缺少边界时刻或只有目录的候选不入刊；单次警报不推算总体发生率，国际方法文件不自动适用中国食品。</w:t>
      </w:r>
    </w:p>
    <w:sectPr w:rsidR="00741353" w:rsidSect="00034616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020" w:right="1134" w:bottom="964" w:left="1134" w:header="425" w:footer="4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45706" w14:textId="77777777" w:rsidR="00AF0D74" w:rsidRDefault="00AF0D74">
      <w:pPr>
        <w:spacing w:after="0" w:line="240" w:lineRule="auto"/>
      </w:pPr>
      <w:r>
        <w:separator/>
      </w:r>
    </w:p>
  </w:endnote>
  <w:endnote w:type="continuationSeparator" w:id="0">
    <w:p w14:paraId="0BB8E7FE" w14:textId="77777777" w:rsidR="00AF0D74" w:rsidRDefault="00AF0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>
  <w:font w:name="宋体">
    <w:charset w:val="86"/>
  </w:font>
  <w:font w:name="黑体">
    <w:charset w:val="86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BA4F8" w14:textId="77777777" w:rsidR="006F4FFB" w:rsidRDefault="006F4FF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9F7E9" w14:textId="77777777" w:rsidR="00071710" w:rsidRDefault="008A38A6">
    <w:pPr>
      <w:spacing w:line="240" w:lineRule="exact"/>
      <w:jc w:val="right"/>
    </w:pPr>
    <w:r>
      <w:rPr>
        <w:rFonts w:ascii="宋体" w:eastAsia="宋体" w:hAnsi="宋体" w:cs="宋体"/>
        <w:color w:val="555555"/>
        <w:sz w:val="17"/>
        <w:szCs w:val="17"/>
      </w:rPr>
      <w:t xml:space="preserve">趋势热点资讯周报（内部测试版）  第 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begin"/>
    </w:r>
    <w:r w:rsidR="00071710">
      <w:rPr>
        <w:rFonts w:ascii="宋体" w:eastAsia="宋体" w:hAnsi="宋体" w:cs="宋体"/>
        <w:color w:val="555555"/>
        <w:sz w:val="17"/>
        <w:szCs w:val="17"/>
      </w:rPr>
      <w:instrText>PAGE</w:instrTex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separate"/>
    </w:r>
    <w:r w:rsidR="00144C9B">
      <w:rPr>
        <w:rFonts w:ascii="宋体" w:eastAsia="宋体" w:hAnsi="宋体" w:cs="宋体"/>
        <w:noProof/>
        <w:color w:val="555555"/>
        <w:sz w:val="17"/>
        <w:szCs w:val="17"/>
      </w:rPr>
      <w:t>1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end"/>
    </w:r>
    <w:r>
      <w:rPr>
        <w:rFonts w:ascii="宋体" w:eastAsia="宋体" w:hAnsi="宋体" w:cs="宋体"/>
        <w:color w:val="555555"/>
        <w:sz w:val="17"/>
        <w:szCs w:val="17"/>
      </w:rPr>
      <w:t xml:space="preserve"> 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45EE6" w14:textId="77777777" w:rsidR="006F4FFB" w:rsidRDefault="006F4FF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12EAF" w14:textId="77777777" w:rsidR="00AF0D74" w:rsidRDefault="00AF0D74">
      <w:pPr>
        <w:spacing w:after="0" w:line="240" w:lineRule="auto"/>
      </w:pPr>
      <w:r>
        <w:separator/>
      </w:r>
    </w:p>
  </w:footnote>
  <w:footnote w:type="continuationSeparator" w:id="0">
    <w:p w14:paraId="01EFFB83" w14:textId="77777777" w:rsidR="00AF0D74" w:rsidRDefault="00AF0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3C5E0" w14:textId="77777777" w:rsidR="006F4FFB" w:rsidRDefault="006F4FF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AEF97" w14:textId="77777777" w:rsidR="00071710" w:rsidRDefault="00071710">
    <w:pPr>
      <w:pStyle w:val="a5"/>
      <w:spacing w:line="240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D9213" w14:textId="77777777" w:rsidR="006F4FFB" w:rsidRDefault="006F4FF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宋体" w:eastAsia="宋体" w:hAnsi="宋体" w:cs="宋体" w:hint="eastAsia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宋体" w:eastAsia="宋体" w:hAnsi="宋体" w:cs="宋体" w:hint="eastAsia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宋体" w:eastAsia="宋体" w:hAnsi="宋体" w:cs="宋体" w:hint="eastAsia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宋体" w:eastAsia="宋体" w:hAnsi="宋体" w:cs="宋体" w:hint="eastAsia"/>
      </w:rPr>
    </w:lvl>
  </w:abstractNum>
  <w:num w:numId="1" w16cid:durableId="1450274729">
    <w:abstractNumId w:val="8"/>
  </w:num>
  <w:num w:numId="2" w16cid:durableId="33821294">
    <w:abstractNumId w:val="6"/>
  </w:num>
  <w:num w:numId="3" w16cid:durableId="657615895">
    <w:abstractNumId w:val="5"/>
  </w:num>
  <w:num w:numId="4" w16cid:durableId="100497808">
    <w:abstractNumId w:val="4"/>
  </w:num>
  <w:num w:numId="5" w16cid:durableId="540869003">
    <w:abstractNumId w:val="7"/>
  </w:num>
  <w:num w:numId="6" w16cid:durableId="9527193">
    <w:abstractNumId w:val="3"/>
  </w:num>
  <w:num w:numId="7" w16cid:durableId="1123765509">
    <w:abstractNumId w:val="2"/>
  </w:num>
  <w:num w:numId="8" w16cid:durableId="1083721945">
    <w:abstractNumId w:val="1"/>
  </w:num>
  <w:num w:numId="9" w16cid:durableId="1418792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hideSpellingErrors w:val="true"/>
  <w:zoom w:percent="100"/>
  <w:bordersDoNotSurroundHeader/>
  <w:bordersDoNotSurroundFooter/>
  <w:hideGrammaticalErrors w:val="true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155C"/>
    <w:rsid w:val="00034616"/>
    <w:rsid w:val="0006063C"/>
    <w:rsid w:val="00071710"/>
    <w:rsid w:val="00144C9B"/>
    <w:rsid w:val="0015074B"/>
    <w:rsid w:val="00192115"/>
    <w:rsid w:val="0029639D"/>
    <w:rsid w:val="00326F90"/>
    <w:rsid w:val="005E45C4"/>
    <w:rsid w:val="006F4FFB"/>
    <w:rsid w:val="00741353"/>
    <w:rsid w:val="00870DE8"/>
    <w:rsid w:val="008A38A6"/>
    <w:rsid w:val="00962205"/>
    <w:rsid w:val="00AA1D8D"/>
    <w:rsid w:val="00AE4301"/>
    <w:rsid w:val="00AF0D74"/>
    <w:rsid w:val="00B47730"/>
    <w:rsid w:val="00C42746"/>
    <w:rsid w:val="00C6280B"/>
    <w:rsid w:val="00CB0664"/>
    <w:rsid w:val="00F2417D"/>
    <w:rsid w:val="00F775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DC731B"/>
  <w14:defaultImageDpi w14:val="330"/>
  <w15:docId w15:val="{E17F98DE-E812-4396-81C7-FF1712B34E39}"/>
  <w:embedSystemFonts w:val="false"/>
  <w:embedTrueTypeFonts w:val="false"/>
  <w:saveSubsetFonts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宋体" w:eastAsia="宋体" w:hAnsi="宋体" w:cs="宋体" w:hint="eastAsia"/>
        <w:color w:val="000000"/>
        <w:sz w:val="24"/>
        <w:szCs w:val="24"/>
        <w:lang w:val="zh-CN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napToGrid w:val="0"/>
      <w:spacing w:after="80" w:line="308" w:lineRule="exact"/>
    </w:p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20" w:line="420" w:lineRule="exact"/>
      <w:outlineLvl w:val="0"/>
    </w:pPr>
    <w:rPr>
      <w:rFonts w:ascii="黑体" w:eastAsia="黑体" w:hAnsi="黑体" w:cs="黑体"/>
      <w:b/>
      <w:bCs/>
      <w:sz w:val="30"/>
      <w:szCs w:val="30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20" w:line="336" w:lineRule="exact"/>
      <w:outlineLvl w:val="1"/>
    </w:pPr>
    <w:rPr>
      <w:rFonts w:ascii="黑体" w:eastAsia="黑体" w:hAnsi="黑体" w:cs="黑体"/>
      <w:b/>
      <w:bCs/>
      <w:sz w:val="25"/>
      <w:szCs w:val="25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黑体" w:eastAsia="黑体" w:hAnsi="黑体" w:cs="黑体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黑体" w:eastAsia="黑体" w:hAnsi="黑体" w:cs="黑体"/>
      <w:b/>
      <w:bCs/>
      <w:i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宋体" w:eastAsia="宋体" w:hAnsi="宋体" w:cs="宋体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宋体" w:eastAsia="宋体" w:hAnsi="宋体" w:cs="宋体"/>
      <w:iCs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宋体" w:eastAsia="宋体" w:hAnsi="宋体" w:cs="宋体"/>
      <w:iCs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宋体" w:eastAsia="宋体" w:hAnsi="宋体" w:cs="宋体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宋体" w:eastAsia="宋体" w:hAnsi="宋体" w:cs="宋体"/>
      <w:iCs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8"/>
      <w:szCs w:val="28"/>
      <w:lang w:val="zh-CN" w:eastAsia="zh-CN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6"/>
      <w:szCs w:val="26"/>
      <w:lang w:val="zh-CN" w:eastAsia="zh-CN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line="700" w:lineRule="exact"/>
      <w:contextualSpacing/>
    </w:pPr>
    <w:rPr>
      <w:rFonts w:ascii="黑体" w:eastAsia="黑体" w:hAnsi="黑体" w:cs="黑体"/>
      <w:b/>
      <w:bCs/>
      <w:sz w:val="46"/>
      <w:szCs w:val="46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="宋体" w:eastAsia="宋体" w:hAnsi="宋体" w:cs="宋体" w:hint="eastAsia"/>
      <w:i w:val="0"/>
      <w:color w:val="000000"/>
      <w:sz w:val="52"/>
      <w:szCs w:val="52"/>
      <w:lang w:val="zh-CN" w:eastAsia="zh-CN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="宋体" w:eastAsia="宋体" w:hAnsi="宋体" w:cs="宋体"/>
      <w:iCs/>
      <w:sz w:val="22"/>
      <w:szCs w:val="22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="宋体" w:eastAsia="宋体" w:hAnsi="宋体" w:cs="宋体" w:hint="eastAsia"/>
      <w:i w:val="0"/>
      <w:iCs/>
      <w:color w:val="000000"/>
      <w:sz w:val="24"/>
      <w:szCs w:val="24"/>
      <w:lang w:val="zh-CN" w:eastAsia="zh-CN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正文文本 字符"/>
    <w:basedOn w:val="a2"/>
    <w:link w:val="af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rFonts w:ascii="宋体" w:eastAsia="宋体" w:hAnsi="宋体" w:cs="宋体" w:hint="eastAsia"/>
      <w:i w:val="0"/>
      <w:color w:val="000000"/>
      <w:sz w:val="16"/>
      <w:szCs w:val="16"/>
      <w:lang w:val="zh-CN" w:eastAsia="zh-CN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Cs/>
    </w:rPr>
  </w:style>
  <w:style w:type="character" w:customStyle="1" w:styleId="af6">
    <w:name w:val="引用 字符"/>
    <w:basedOn w:val="a2"/>
    <w:link w:val="af5"/>
    <w:uiPriority w:val="29"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="宋体" w:eastAsia="宋体" w:hAnsi="宋体" w:cs="宋体" w:hint="eastAsia"/>
      <w:i w:val="0"/>
      <w:color w:val="000000"/>
      <w:lang w:val="zh-CN" w:eastAsia="zh-CN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sz w:val="20"/>
      <w:szCs w:val="20"/>
      <w:lang w:val="zh-CN" w:eastAsia="zh-CN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character" w:styleId="af9">
    <w:name w:val="Emphasis"/>
    <w:basedOn w:val="a2"/>
    <w:uiPriority w:val="20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spacing w:before="200" w:after="280"/>
      <w:ind w:left="936" w:right="936"/>
    </w:pPr>
    <w:rPr>
      <w:b/>
      <w:bCs/>
      <w:iCs/>
    </w:rPr>
  </w:style>
  <w:style w:type="character" w:customStyle="1" w:styleId="afb">
    <w:name w:val="明显引用 字符"/>
    <w:basedOn w:val="a2"/>
    <w:link w:val="afa"/>
    <w:uiPriority w:val="30"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c">
    <w:name w:val="Subtle Emphasis"/>
    <w:basedOn w:val="a2"/>
    <w:uiPriority w:val="19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styleId="afd">
    <w:name w:val="Intense Emphasis"/>
    <w:basedOn w:val="a2"/>
    <w:uiPriority w:val="21"/>
    <w:qFormat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e">
    <w:name w:val="Subtle Reference"/>
    <w:basedOn w:val="a2"/>
    <w:uiPriority w:val="31"/>
    <w:qFormat/>
    <w:rsid w:val="00FC693F"/>
    <w:rPr>
      <w:rFonts w:ascii="宋体" w:eastAsia="宋体" w:hAnsi="宋体" w:cs="宋体" w:hint="eastAsia"/>
      <w:i w:val="0"/>
      <w:smallCaps/>
      <w:color w:val="000000"/>
      <w:u w:val="single"/>
      <w:lang w:val="zh-CN" w:eastAsia="zh-CN"/>
    </w:rPr>
  </w:style>
  <w:style w:type="character" w:styleId="aff">
    <w:name w:val="Intense Reference"/>
    <w:basedOn w:val="a2"/>
    <w:uiPriority w:val="32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u w:val="single"/>
      <w:lang w:val="zh-CN" w:eastAsia="zh-CN"/>
    </w:rPr>
  </w:style>
  <w:style w:type="character" w:styleId="aff0">
    <w:name w:val="Book Title"/>
    <w:basedOn w:val="a2"/>
    <w:uiPriority w:val="33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lang w:val="zh-CN" w:eastAsia="zh-CN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  <w:rPr>
      <w:rFonts w:ascii="宋体" w:eastAsia="宋体" w:hAnsi="宋体" w:cs="宋体"/>
    </w:r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26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28" Type="http://schemas.openxmlformats.org/officeDocument/2006/relationships/footer" Target="footer2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27" Type="http://schemas.openxmlformats.org/officeDocument/2006/relationships/footer" Target="footer1.xml"/><Relationship Id="rId30" Type="http://schemas.openxmlformats.org/officeDocument/2006/relationships/footer" Target="footer3.xml"/><Relationship Id="rIdNewsletterSource1" Type="http://schemas.openxmlformats.org/officeDocument/2006/relationships/hyperlink" Target="https://www.cfs.gov.hk/sc_chi/whatsnew/whatsnew_fa/2026_633.html" TargetMode="External"/><Relationship Id="rIdNewsletterSource2" Type="http://schemas.openxmlformats.org/officeDocument/2006/relationships/hyperlink" Target="https://www.stats.gov.cn/sj/zxfb/202610/t20261014_1965477.html" TargetMode="External"/><Relationship Id="rIdNewsletterSource3" Type="http://schemas.openxmlformats.org/officeDocument/2006/relationships/hyperlink" Target="https://www.aoac.org/news/revision-notice-aoac-smprs-2020-001-2023-005/" TargetMode="External"/><Relationship Id="rIdNewsletterSource4" Type="http://schemas.openxmlformats.org/officeDocument/2006/relationships/hyperlink" Target="https://www.aoac.org/news/micro-expert-review-panel-meet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黑体"/>
        <a:ea typeface="黑体"/>
        <a:cs typeface="黑体"/>
        <a:font script="Jpan" typeface="黑体"/>
        <a:font script="Hang" typeface="黑体"/>
        <a:font script="Hans" typeface="黑体"/>
        <a:font script="Hant" typeface="黑体"/>
        <a:font script="Arab" typeface="黑体"/>
        <a:font script="Hebr" typeface="黑体"/>
        <a:font script="Thai" typeface="黑体"/>
        <a:font script="Ethi" typeface="黑体"/>
        <a:font script="Beng" typeface="黑体"/>
        <a:font script="Gujr" typeface="黑体"/>
        <a:font script="Khmr" typeface="黑体"/>
        <a:font script="Knda" typeface="黑体"/>
        <a:font script="Guru" typeface="黑体"/>
        <a:font script="Cans" typeface="黑体"/>
        <a:font script="Cher" typeface="黑体"/>
        <a:font script="Yiii" typeface="黑体"/>
        <a:font script="Tibt" typeface="黑体"/>
        <a:font script="Thaa" typeface="黑体"/>
        <a:font script="Deva" typeface="黑体"/>
        <a:font script="Telu" typeface="黑体"/>
        <a:font script="Taml" typeface="黑体"/>
        <a:font script="Syrc" typeface="黑体"/>
        <a:font script="Orya" typeface="黑体"/>
        <a:font script="Mlym" typeface="黑体"/>
        <a:font script="Laoo" typeface="黑体"/>
        <a:font script="Sinh" typeface="黑体"/>
        <a:font script="Mong" typeface="黑体"/>
        <a:font script="Viet" typeface="黑体"/>
        <a:font script="Uigh" typeface="黑体"/>
        <a:font script="Geor" typeface="黑体"/>
      </a:majorFont>
      <a:minorFont>
        <a:latin typeface="宋体"/>
        <a:ea typeface="宋体"/>
        <a:cs typeface="宋体"/>
        <a:font script="Jpan" typeface="宋体"/>
        <a:font script="Hang" typeface="宋体"/>
        <a:font script="Hans" typeface="宋体"/>
        <a:font script="Hant" typeface="宋体"/>
        <a:font script="Arab" typeface="宋体"/>
        <a:font script="Hebr" typeface="宋体"/>
        <a:font script="Thai" typeface="宋体"/>
        <a:font script="Ethi" typeface="宋体"/>
        <a:font script="Beng" typeface="宋体"/>
        <a:font script="Gujr" typeface="宋体"/>
        <a:font script="Khmr" typeface="宋体"/>
        <a:font script="Knda" typeface="宋体"/>
        <a:font script="Guru" typeface="宋体"/>
        <a:font script="Cans" typeface="宋体"/>
        <a:font script="Cher" typeface="宋体"/>
        <a:font script="Yiii" typeface="宋体"/>
        <a:font script="Tibt" typeface="宋体"/>
        <a:font script="Thaa" typeface="宋体"/>
        <a:font script="Deva" typeface="宋体"/>
        <a:font script="Telu" typeface="宋体"/>
        <a:font script="Taml" typeface="宋体"/>
        <a:font script="Syrc" typeface="宋体"/>
        <a:font script="Orya" typeface="宋体"/>
        <a:font script="Mlym" typeface="宋体"/>
        <a:font script="Laoo" typeface="宋体"/>
        <a:font script="Sinh" typeface="宋体"/>
        <a:font script="Mong" typeface="宋体"/>
        <a:font script="Viet" typeface="宋体"/>
        <a:font script="Uigh" typeface="宋体"/>
        <a:font script="Geor" typeface="宋体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趋势热点资讯周报（内部测试版）</dc:title>
  <dc:subject>2026年10月9日16:30至10月16日16:30（北京时间）</dc:subject>
  <dc:creator/>
  <cp:keywords/>
  <dc:description/>
  <cp:lastModifiedBy/>
  <cp:revision>1</cp:revision>
  <dcterms:created xsi:type="dcterms:W3CDTF">2026-10-19T01:06:39Z</dcterms:created>
  <dcterms:modified xsi:type="dcterms:W3CDTF">2026-10-19T01:06:39Z</dcterms:modified>
  <cp:category/>
</cp:coreProperties>
</file>